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9F8" w:rsidRPr="006359F8" w:rsidRDefault="006359F8" w:rsidP="006359F8">
      <w:pPr>
        <w:spacing w:after="150" w:line="240" w:lineRule="auto"/>
        <w:rPr>
          <w:rFonts w:ascii="Arial" w:eastAsia="Times New Roman" w:hAnsi="Arial" w:cs="Arial"/>
          <w:b/>
          <w:bCs/>
          <w:color w:val="494949"/>
          <w:sz w:val="18"/>
          <w:szCs w:val="18"/>
        </w:rPr>
      </w:pPr>
      <w:r w:rsidRPr="006359F8">
        <w:rPr>
          <w:rFonts w:ascii="Arial" w:eastAsia="Times New Roman" w:hAnsi="Arial" w:cs="Arial"/>
          <w:b/>
          <w:bCs/>
          <w:color w:val="494949"/>
          <w:sz w:val="18"/>
          <w:szCs w:val="18"/>
        </w:rPr>
        <w:t>Tài liệu cơ bản về nước Cộng hòa Bờ Biển Ngà, do Vụ Châu Phi Tây Nam Á tổng hợp.</w:t>
      </w:r>
    </w:p>
    <w:p w:rsidR="006359F8" w:rsidRPr="006359F8" w:rsidRDefault="006359F8" w:rsidP="006359F8">
      <w:pPr>
        <w:spacing w:after="0" w:line="240" w:lineRule="auto"/>
        <w:rPr>
          <w:rFonts w:ascii="Arial" w:eastAsia="Times New Roman" w:hAnsi="Arial" w:cs="Arial"/>
          <w:color w:val="494949"/>
          <w:sz w:val="18"/>
          <w:szCs w:val="18"/>
        </w:rPr>
      </w:pPr>
      <w:r w:rsidRPr="006359F8">
        <w:rPr>
          <w:rFonts w:ascii="Arial" w:eastAsia="Times New Roman" w:hAnsi="Arial" w:cs="Arial"/>
          <w:b/>
          <w:bCs/>
          <w:color w:val="494949"/>
          <w:sz w:val="24"/>
          <w:szCs w:val="24"/>
        </w:rPr>
        <w:t>1.</w:t>
      </w:r>
      <w:r w:rsidRPr="006359F8">
        <w:rPr>
          <w:rFonts w:ascii="Arial" w:eastAsia="Times New Roman" w:hAnsi="Arial" w:cs="Arial"/>
          <w:color w:val="494949"/>
          <w:sz w:val="24"/>
          <w:szCs w:val="24"/>
        </w:rPr>
        <w:t>      </w:t>
      </w:r>
      <w:r w:rsidRPr="006359F8">
        <w:rPr>
          <w:rFonts w:ascii="Arial" w:eastAsia="Times New Roman" w:hAnsi="Arial" w:cs="Arial"/>
          <w:b/>
          <w:bCs/>
          <w:color w:val="494949"/>
          <w:sz w:val="24"/>
          <w:szCs w:val="24"/>
        </w:rPr>
        <w:t>KHÁI QUÁT:</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Tên nước: Cộng hòa Bờ Biển Ngà (Côte d’Ivoire)</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Thủ đô hành chính: Yamoussoukro</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Thủ đô kinh tế: Abidjan</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Vị trí địa lý: thuộc Tây Phi, trên bờ Đại Tây Dương, Bắc giáp Mali và Burkina Faso, Đông giáp Ghana, Tây giáp Guinea và Liberia, Nam giáp Đại Tây Dương.</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Diện tích: 322.460 km</w:t>
      </w:r>
      <w:r w:rsidRPr="006359F8">
        <w:rPr>
          <w:rFonts w:ascii="Arial" w:eastAsia="Times New Roman" w:hAnsi="Arial" w:cs="Arial"/>
          <w:color w:val="494949"/>
          <w:sz w:val="24"/>
          <w:szCs w:val="24"/>
          <w:vertAlign w:val="superscript"/>
        </w:rPr>
        <w:t>2</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Dân số: 22,84 triệu người (năm 2014)</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Ngôn ngữ: Tiếng Pháp và 60 thổ ngữ</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Đơn vị tiền tệ: Franc CFA (1 USD = 500 FCFA)</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Quốc khánh: 07/8/1960</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Tôn giáo: Hồi giáo 38%, Thiên chúa giáo 32%, Đạo cổ truyền 11%</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Tổng thống: Alassane OUATTARA (từ tháng 12/2010)</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b/>
          <w:bCs/>
          <w:color w:val="494949"/>
          <w:sz w:val="24"/>
          <w:szCs w:val="24"/>
        </w:rPr>
        <w:t>2.</w:t>
      </w:r>
      <w:r w:rsidRPr="006359F8">
        <w:rPr>
          <w:rFonts w:ascii="Arial" w:eastAsia="Times New Roman" w:hAnsi="Arial" w:cs="Arial"/>
          <w:color w:val="494949"/>
          <w:sz w:val="24"/>
          <w:szCs w:val="24"/>
        </w:rPr>
        <w:t>     </w:t>
      </w:r>
      <w:r w:rsidRPr="006359F8">
        <w:rPr>
          <w:rFonts w:ascii="Arial" w:eastAsia="Times New Roman" w:hAnsi="Arial" w:cs="Arial"/>
          <w:b/>
          <w:bCs/>
          <w:color w:val="494949"/>
          <w:sz w:val="24"/>
          <w:szCs w:val="24"/>
        </w:rPr>
        <w:t>CHÍNH TRỊ:</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b/>
          <w:bCs/>
          <w:color w:val="494949"/>
          <w:sz w:val="24"/>
          <w:szCs w:val="24"/>
        </w:rPr>
        <w:t>2.1. Đối nội</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Thể chế: Cộng hoà Tổng thống</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Các đảng phái chính trị lớn: Liên minh Dân chủ Công dân, Đảng Dân chủ Bờ Biển Ngà, Đảng Lao động Bờ Biển Ngà, Liên minh Dân chủ và Hoà bình, Mặt trận nhân dân Bờ Biển Ngà (Đảng của Tổng thống Gbagbo).</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Từ sau cuộc bầu cử Tổng thống tháng 11/2010 tới tháng 4/2011, tình hình Côte d’Ivoire đặc biệt căng thẳng khi Tổng thống mãn nhiệm Gbagbo kiên quyết không chịu từ bỏ quyền lực sau thất bại trong khi phần lớn cộng đồng quốc tế công nhận ông Alassane Ouattara là Tổng thống hợp pháp của nước này. UN, EU, AU, ECOWAS và nhiều nước lớn như Pháp, Mỹ liên tục gây sức ép buộc Gbagbo từ chức. Nhiều cuộc giao tranh ác liệt đã xảy ra giữa lực lượng ủng hộ Ouattara và lực lượng trung thành với Gbagbo, khiến gần 500 người chết và hơn 75.000 người đã phải rời bỏ đất nước sang các nước láng giềng lánh nạn. Chiến sự kết thúc sau khi ông Gbagbo bị bắt và đầu hàng ngày 11/4/2011. Ông Ouattara chính thức điều hành toàn bộ công việc của đất nước. Theo kế hoạch, đến tháng 10/2015, Bờ Biển Ngà sẽ tiến hành bầu cử Tổng thống.</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18"/>
          <w:szCs w:val="18"/>
        </w:rPr>
        <w:br/>
      </w:r>
      <w:r w:rsidRPr="006359F8">
        <w:rPr>
          <w:rFonts w:ascii="Arial" w:eastAsia="Times New Roman" w:hAnsi="Arial" w:cs="Arial"/>
          <w:color w:val="494949"/>
          <w:sz w:val="24"/>
          <w:szCs w:val="24"/>
        </w:rPr>
        <w:t>2</w:t>
      </w:r>
      <w:r w:rsidRPr="006359F8">
        <w:rPr>
          <w:rFonts w:ascii="Arial" w:eastAsia="Times New Roman" w:hAnsi="Arial" w:cs="Arial"/>
          <w:b/>
          <w:bCs/>
          <w:color w:val="494949"/>
          <w:sz w:val="24"/>
          <w:szCs w:val="24"/>
        </w:rPr>
        <w:t>.2. Đối ngoại: </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Côte d'Ivoire là thành viên của nhiều tổ chức quốc tế như LHQ, KLK, WTO, Francophonie và nhiều tổ chức khu vực như Liên minh châu Phi (AU), Cộng đồng kinh tế các quốc gia Tây Phi (ECOWAS), Liên minh kinh tế và tiền tệ Tây Phi (UEMOA)... Côte d'Ivoire thân phương Tây, nhất là Pháp.</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b/>
          <w:bCs/>
          <w:color w:val="494949"/>
          <w:sz w:val="24"/>
          <w:szCs w:val="24"/>
        </w:rPr>
        <w:t> 3. KINH TẾ:</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Về kinh tế, Bờ Biển Ngà là một nước có tài nguyên thiên nhiên phong phú, đặc biệt có nhiều kim cương, măng gan và sắt. Bờ Biển Ngà là một nước có tài nguyên phong phú, đặc biệt có nhiều kim cương, măng gan và sắt.</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Ngành công nghiệp, nông nghiệp của Côte d'Ivoire phát triển khá cân đối. Bờ Biển Ngà là nhà sản xuất và xuất khẩu hàng đầu thế giới về ca cao, đồng thời cũng là nước xuất khẩu quan trọng về cà phê và dầu cọ. Từ vài năm nay nước này còn có thêm nguồn thu xuất khẩu từ dầu lửa và vàng. Tuy nhiên thu nhập của Côte d'Ivoire vẫn dựa chủ yếu vào sản xuất nông nghiệp (68% dân số sống bằng nghề nông) và nền kinh tế phụ thuộc vào giá quốc tế và những biến động về thời tiết. Bên cạnh đó nền công nghiệp của Bờ Biển Ngà cũng khá phát triển như: công nghiệp sản xuất hàng tiêu dùng, dệt may, da giày, hoá chất, khai khoáng, sản phẩm gỗ, sửa chữa và đóng tàu.</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lastRenderedPageBreak/>
        <w:t>Những thách thức lâu dài đối với quốc gia Tây Phi này là tình hình bất ổn chính trị và cơ sở hạ tầng xuống cấp. Cuối năm 2011, kinh tế Bờ Biển Ngà đã phục hồi sau quý I bị tê liệt do cuộc khủng hoảng chính trị hậu bầu cử Tổng thống. Tháng 6/2012, Bờ Biển Ngà đã được Quỹ tiền tệ quốc tế (IMF) và Ngân hàng thế giới (WB) thông báo cho vay 4,4 tỷ USD trong khuôn khổ Sáng kiến dành cho các nước nghèo nợ nhiều.</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Trong cơ cấu kinh tế, nông nghiệp chiếm 25,9%, công nghiệp 21,9% và dịch vụ 52,1%. Năm 2014, GDP đạt 33,96 tỷ USD. Tỷ lệ tăng trưởng GDP đạt 8,5%, GDP bình quân đầu người là 1486 USD, tỷ lệ lạm phát 0,3%.</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Về ngoại thương, năm 2014, kim ngạch xuất khẩu của Bờ Biển Ngà đạt 14,58 tỷ USD với các mặt hàng ca cao, cà phê, gỗ, dầu lửa, bông, chuối, dứa, dầu cọ và cá. Các đối tác xuất khẩu chính gồm Hà Lan, Mỹ, Đức, Nigeria, Canađa, Pháp và Nam Phi. Kim ngạch nhập khẩu của Bờ Biển Ngà đạt 9,78 tỷ USD với các mặt hàng chính là dầu nhiên liệu, máy móc trang thiết bị, lương thực, thực phẩm. Các đối tác nhập khẩu chủ yếu gồm Nigeria, Pháp, Trung Quốc. Do sản xuất lúa trong nước chưa đáp ứng được nhu cầu của người dân nên mỗi năm, Bờ Biển Ngà phải mua khoảng 900.000 tấn gạo. Các nước cung cấp chính gồm  Thái Lan, Việt Nam, Trung Quốc, Nigeria.</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Mặc dù trải qua gần 1 thập kỷ bất ổn chính trị nhưng Bờ Biển Ngà vẫn được xem là một trong những nền kinh tế hàng đầu khu vực Tây Phi. Với vị trí địa lý chiến lược, nguồn tài nguyên thiên nhiên, nông, lâm nghiệp phong phú, nước này tiếp tục duy trì vai trò là nhà cung cấp hàng hoá và dịch vụ chính cho các nước láng giềng như Ghi-nê, Mali, Buốc-ki-na Pha-xô… Cảng biển Abidjan và tuyến đường sắt nối TP Abidjan với thủ đô Ouagadouro (Buốc-ki-na Pha-xô) vẫn là tuyến đường xuất nhập cảnh ưu tiên, nhất là đối với những nước nằm sâu trong lục địa, mang lại nguồn thu ngoại tệ quan trọng cho ngân sách quốc gia.</w:t>
      </w:r>
      <w:r w:rsidRPr="006359F8">
        <w:rPr>
          <w:rFonts w:ascii="Arial" w:eastAsia="Times New Roman" w:hAnsi="Arial" w:cs="Arial"/>
          <w:b/>
          <w:bCs/>
          <w:color w:val="494949"/>
          <w:sz w:val="24"/>
          <w:szCs w:val="24"/>
        </w:rPr>
        <w:t>      </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b/>
          <w:bCs/>
          <w:color w:val="494949"/>
          <w:sz w:val="24"/>
          <w:szCs w:val="24"/>
        </w:rPr>
        <w:t>4.  QUAN HỆ VỚI VIỆT NAM:</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Việt Nam và Côte d'Ivoire thiết lập quan hệ ngoại giao ngày 6/10/1975. Hiện nay, Đại sứ quán ta tại Maroc kiêm nhiệm Bờ Biển Ngà và Đại sứ Bờ Biển Ngà tại Trung Quốc kiêm nhiệm Việt Nam.</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Thời gian gần đây Việt Nam đã tăng cường tổ chức các đoàn sang thị trường này để tìm kiếm cơ hội kinh doanh. Năm 2008, Thứ trưởng Bộ Công Thương Lê Dương Quang đã dẫn đầu đoàn 15 doanh nghiệp Việt Nam sang thăm và làm việc tại Bờ Biển Ngà. Năm 2010, Bộ Công Thương lại tổ chức một đoàn nghiên cứu chính sách và xúc tiến thương mại sang Bờ Biển Ngà. Cùng đi có đại diện của Sở Công Thương tỉnh LongAn và 10 doanh nghiệp. Trong các cuộc tiếp xúc, phía Bờ Biển Ngà kêu gọi doanh nghiệp Việt Nam sang đầu tư chế biến điều, dứa và tham gia các dự án trồng cao su tại nước này. Năm 2012, Bộ Công Thương đã gửi công hàm đến Đại sứ quán Bờ Biển Ngà tại Trung Quốc và Ma-rốc đề nghị đàm phán và ký Bản ghi nhớ (MOU) về thương mại gạo giữa hai nước (cho đến nay phía Bạn chưa phản hồi). Trong chuyến thăm nước Cộng hòa Bờ Biển Ngà từ ngày 20-22/5, Thứ trưởng Ngoại giao Nguyễn Phương Nga và Bộ trưởng Ngoại giao Bờ Biển Ngà Charles Koffi Diby đã ký Biên bản ghi nhớ về Hợp tác giữa Bộ Ngoại giao hai nước.</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Tháng 5/2014, Vụ trưởng Vụ Thị trường Châu Phi, Tây Á, Nam Á-Bộ Công Thương đã tiếp Tổng giám đốc Hội đồng Bông-Điều Bờ Biển Ngà về việc phía Bạn mời Việt Nam tham dự Hội chợ công nghệ và thiết bị chế biến điều thô dự kiến tổ chức tại Abidjan vào tháng 11/2014.</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Bờ Biển Ngà là một trong những đối tác thương mại hàng đầu của Việt Nam ở khu vực Tây Phi nói riêng và ở châu Phi nói chung. Năm 2013, kim ngạch xuất khẩu của Việt Nam sang Bờ Biển Ngà đạt mức cao nhất 246,67 triệu USD, tăng 15% so với năm 2012 và kim ngạch nhập khẩu đạt 256,2 triệu USD, tăng 88%.</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lastRenderedPageBreak/>
        <w:t>Các mặt hàng Việt Nam xuất khẩu sang Bờ Biển Ngà chủ yếu gồm gạo (chiếm 93% tổng kim ngạch xuất khẩu), máy vi tính, sản phẩm điện tử và linh kiện, hàng thủy sản, sản phẩm dệt may, chất dẻo nguyên liệu, ...</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Các mặt hàng Việt Nam nhập khẩu chính từ Bờ Biển Ngà chủ yếu là hạt điều thô (chiếm tới 77% tổng giá trị nhập khẩu), bông các loại, cà phê, gỗ và sản phẩm gỗ, cao su, sắt thép phế liệu...</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Tuy nhiên năm 2014, trao đổi thương mại hai nước đã sụt giảm chủ yếu do Việt Nam giảm xuất khẩu mặt hàng gạo sang thị trường này. Năm 2014, kim ngạch xuất khẩu của Việt Nam chỉ đạt 160,2 triệu USD, giảm đến 87% và kim ngạch nhập khẩu đạt 250 triệu USD, giảm 2%.</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t> </w:t>
      </w:r>
    </w:p>
    <w:p w:rsidR="006359F8" w:rsidRPr="006359F8" w:rsidRDefault="006359F8" w:rsidP="006359F8">
      <w:pPr>
        <w:spacing w:line="240" w:lineRule="auto"/>
        <w:jc w:val="center"/>
        <w:rPr>
          <w:rFonts w:ascii="Arial" w:eastAsia="Times New Roman" w:hAnsi="Arial" w:cs="Arial"/>
          <w:color w:val="494949"/>
          <w:sz w:val="18"/>
          <w:szCs w:val="18"/>
        </w:rPr>
      </w:pPr>
      <w:r w:rsidRPr="006359F8">
        <w:rPr>
          <w:rFonts w:ascii="Arial" w:eastAsia="Times New Roman" w:hAnsi="Arial" w:cs="Arial"/>
          <w:b/>
          <w:bCs/>
          <w:color w:val="494949"/>
          <w:sz w:val="24"/>
          <w:szCs w:val="24"/>
        </w:rPr>
        <w:t>Xuất khẩu của Việt Nam sang Bờ Biển Ngà năm 2014</w:t>
      </w:r>
    </w:p>
    <w:tbl>
      <w:tblPr>
        <w:tblW w:w="865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525"/>
        <w:gridCol w:w="2190"/>
      </w:tblGrid>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jc w:val="both"/>
              <w:rPr>
                <w:rFonts w:eastAsia="Times New Roman" w:cs="Times New Roman"/>
                <w:sz w:val="24"/>
                <w:szCs w:val="24"/>
              </w:rPr>
            </w:pPr>
            <w:r w:rsidRPr="006359F8">
              <w:rPr>
                <w:rFonts w:ascii="Arial" w:eastAsia="Times New Roman" w:hAnsi="Arial" w:cs="Arial"/>
                <w:b/>
                <w:bCs/>
                <w:sz w:val="24"/>
                <w:szCs w:val="24"/>
              </w:rPr>
              <w:t>Các mặt hàng xuất khẩu</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b/>
                <w:bCs/>
                <w:sz w:val="24"/>
                <w:szCs w:val="24"/>
              </w:rPr>
              <w:t>Kim ngạch (USD)</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jc w:val="both"/>
              <w:rPr>
                <w:rFonts w:eastAsia="Times New Roman" w:cs="Times New Roman"/>
                <w:sz w:val="24"/>
                <w:szCs w:val="24"/>
              </w:rPr>
            </w:pPr>
            <w:r w:rsidRPr="006359F8">
              <w:rPr>
                <w:rFonts w:ascii="Arial" w:eastAsia="Times New Roman" w:hAnsi="Arial" w:cs="Arial"/>
                <w:sz w:val="24"/>
                <w:szCs w:val="24"/>
              </w:rPr>
              <w:t>Gạo</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104,916,670</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jc w:val="both"/>
              <w:rPr>
                <w:rFonts w:eastAsia="Times New Roman" w:cs="Times New Roman"/>
                <w:sz w:val="24"/>
                <w:szCs w:val="24"/>
              </w:rPr>
            </w:pPr>
            <w:r w:rsidRPr="006359F8">
              <w:rPr>
                <w:rFonts w:ascii="Arial" w:eastAsia="Times New Roman" w:hAnsi="Arial" w:cs="Arial"/>
                <w:sz w:val="24"/>
                <w:szCs w:val="24"/>
              </w:rPr>
              <w:t>Sản phẩm dệt may</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17,850,953</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jc w:val="both"/>
              <w:rPr>
                <w:rFonts w:eastAsia="Times New Roman" w:cs="Times New Roman"/>
                <w:sz w:val="24"/>
                <w:szCs w:val="24"/>
              </w:rPr>
            </w:pPr>
            <w:r w:rsidRPr="006359F8">
              <w:rPr>
                <w:rFonts w:ascii="Arial" w:eastAsia="Times New Roman" w:hAnsi="Arial" w:cs="Arial"/>
                <w:sz w:val="24"/>
                <w:szCs w:val="24"/>
              </w:rPr>
              <w:t>Sắt thép các loại</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7,215,133</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Máy vi tính, sản phẩm điện tử &amp; linh kiện</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6,151,200</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Hàng Hải sản</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4,907,144</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Cà phê</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4,752,044</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Clanke</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3,995,250</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Máy móc thiết bị, dụng cụ &amp; phụ tùng</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1,320,938</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L</w:t>
            </w:r>
            <w:r w:rsidRPr="006359F8">
              <w:rPr>
                <w:rFonts w:ascii="Arial" w:eastAsia="Times New Roman" w:hAnsi="Arial" w:cs="Arial"/>
                <w:sz w:val="24"/>
                <w:szCs w:val="24"/>
              </w:rPr>
              <w:softHyphen/>
              <w:t>ưới đánh cá</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1,178,527</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Cấu kiện nhà lắp ghép</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1,065,098</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Sản phẩm gỗ</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756,676</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Hàng hoá khác</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732,557</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Chất dẻo nguyên liệu</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652,080</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Sản phẩm chất dẻo</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609,567</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Linh kiện phụ tùng xe máy</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496,479</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Hạt tiêu</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467,950</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Sản phẩm từ giấy</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446,550</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Đĩa l</w:t>
            </w:r>
            <w:r w:rsidRPr="006359F8">
              <w:rPr>
                <w:rFonts w:ascii="Arial" w:eastAsia="Times New Roman" w:hAnsi="Arial" w:cs="Arial"/>
                <w:sz w:val="24"/>
                <w:szCs w:val="24"/>
              </w:rPr>
              <w:softHyphen/>
              <w:t>ưu trữ thông tin thuộc nhóm 8523</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428,797</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Sản phấm sắt thép</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375,415</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D</w:t>
            </w:r>
            <w:r w:rsidRPr="006359F8">
              <w:rPr>
                <w:rFonts w:ascii="Arial" w:eastAsia="Times New Roman" w:hAnsi="Arial" w:cs="Arial"/>
                <w:sz w:val="24"/>
                <w:szCs w:val="24"/>
              </w:rPr>
              <w:softHyphen/>
              <w:t>ợc phẩm</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301,503</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Bao túi thuộc chương 63</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267,673</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Ph</w:t>
            </w:r>
            <w:r w:rsidRPr="006359F8">
              <w:rPr>
                <w:rFonts w:ascii="Arial" w:eastAsia="Times New Roman" w:hAnsi="Arial" w:cs="Arial"/>
                <w:sz w:val="24"/>
                <w:szCs w:val="24"/>
              </w:rPr>
              <w:softHyphen/>
              <w:t>ơng tiện vận tải khác và phụ tùng</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249,250</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Bánh, kẹo &amp; sản phẩm từ ngũ cốc</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203,086</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Phân NPK</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174,675</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Gỗ</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152,533</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Túi xách, ví, vali, mũ &amp; ô dù</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118,088</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Sản phẩm hoá chất</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115,629</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Hạt điều</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98,842</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Chổi, bàn chải</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76,762</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Sản phẩm mây, tre, cói &amp; thảm</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71,909</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Đồ chơi, dụng cụ thể tthao và bộ phận</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53,440</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Một số hàng hóa thuộc ch</w:t>
            </w:r>
            <w:r w:rsidRPr="006359F8">
              <w:rPr>
                <w:rFonts w:ascii="Arial" w:eastAsia="Times New Roman" w:hAnsi="Arial" w:cs="Arial"/>
                <w:sz w:val="24"/>
                <w:szCs w:val="24"/>
              </w:rPr>
              <w:softHyphen/>
              <w:t>ơng 25</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27,924</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Thức ăn gia súc và nguyên phụ liệu</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26,133</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Sản phẩm gốm, sứ</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10,000</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Hàng rau quả</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sz w:val="24"/>
                <w:szCs w:val="24"/>
              </w:rPr>
              <w:t>                  8,318</w:t>
            </w:r>
          </w:p>
        </w:tc>
      </w:tr>
      <w:tr w:rsidR="006359F8" w:rsidRPr="006359F8" w:rsidTr="006359F8">
        <w:trPr>
          <w:tblCellSpacing w:w="0" w:type="dxa"/>
        </w:trPr>
        <w:tc>
          <w:tcPr>
            <w:tcW w:w="649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ascii="Arial" w:eastAsia="Times New Roman" w:hAnsi="Arial" w:cs="Arial"/>
                <w:b/>
                <w:bCs/>
                <w:sz w:val="24"/>
                <w:szCs w:val="24"/>
              </w:rPr>
              <w:lastRenderedPageBreak/>
              <w:t>Tổng cộng</w:t>
            </w:r>
          </w:p>
        </w:tc>
        <w:tc>
          <w:tcPr>
            <w:tcW w:w="216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jc w:val="center"/>
              <w:rPr>
                <w:rFonts w:eastAsia="Times New Roman" w:cs="Times New Roman"/>
                <w:sz w:val="24"/>
                <w:szCs w:val="24"/>
              </w:rPr>
            </w:pPr>
            <w:r w:rsidRPr="006359F8">
              <w:rPr>
                <w:rFonts w:ascii="Arial" w:eastAsia="Times New Roman" w:hAnsi="Arial" w:cs="Arial"/>
                <w:sz w:val="24"/>
                <w:szCs w:val="24"/>
              </w:rPr>
              <w:t> </w:t>
            </w:r>
            <w:r w:rsidRPr="006359F8">
              <w:rPr>
                <w:rFonts w:ascii="Arial" w:eastAsia="Times New Roman" w:hAnsi="Arial" w:cs="Arial"/>
                <w:b/>
                <w:bCs/>
                <w:i/>
                <w:iCs/>
                <w:sz w:val="24"/>
                <w:szCs w:val="24"/>
              </w:rPr>
              <w:t>  160,274,794</w:t>
            </w:r>
          </w:p>
        </w:tc>
      </w:tr>
    </w:tbl>
    <w:p w:rsidR="006359F8" w:rsidRPr="006359F8" w:rsidRDefault="006359F8" w:rsidP="006359F8">
      <w:pPr>
        <w:spacing w:after="0" w:line="240" w:lineRule="auto"/>
        <w:jc w:val="right"/>
        <w:rPr>
          <w:rFonts w:ascii="Arial" w:eastAsia="Times New Roman" w:hAnsi="Arial" w:cs="Arial"/>
          <w:color w:val="494949"/>
          <w:sz w:val="18"/>
          <w:szCs w:val="18"/>
        </w:rPr>
      </w:pPr>
      <w:r w:rsidRPr="006359F8">
        <w:rPr>
          <w:rFonts w:ascii="Arial" w:eastAsia="Times New Roman" w:hAnsi="Arial" w:cs="Arial"/>
          <w:color w:val="494949"/>
          <w:sz w:val="24"/>
          <w:szCs w:val="24"/>
        </w:rPr>
        <w:t>                                                </w:t>
      </w:r>
      <w:r w:rsidRPr="006359F8">
        <w:rPr>
          <w:rFonts w:ascii="Arial" w:eastAsia="Times New Roman" w:hAnsi="Arial" w:cs="Arial"/>
          <w:i/>
          <w:iCs/>
          <w:color w:val="494949"/>
          <w:sz w:val="24"/>
          <w:szCs w:val="24"/>
        </w:rPr>
        <w:t>Nguồn: Tổng cục Hải quan Việt Nam </w:t>
      </w:r>
    </w:p>
    <w:p w:rsidR="006359F8" w:rsidRPr="006359F8" w:rsidRDefault="006359F8" w:rsidP="006359F8">
      <w:pPr>
        <w:spacing w:after="0" w:line="240" w:lineRule="auto"/>
        <w:jc w:val="right"/>
        <w:rPr>
          <w:rFonts w:ascii="Arial" w:eastAsia="Times New Roman" w:hAnsi="Arial" w:cs="Arial"/>
          <w:color w:val="494949"/>
          <w:sz w:val="18"/>
          <w:szCs w:val="18"/>
        </w:rPr>
      </w:pPr>
      <w:r w:rsidRPr="006359F8">
        <w:rPr>
          <w:rFonts w:ascii="Arial" w:eastAsia="Times New Roman" w:hAnsi="Arial" w:cs="Arial"/>
          <w:color w:val="494949"/>
          <w:sz w:val="24"/>
          <w:szCs w:val="24"/>
        </w:rPr>
        <w:t> </w:t>
      </w:r>
    </w:p>
    <w:p w:rsidR="006359F8" w:rsidRPr="006359F8" w:rsidRDefault="006359F8" w:rsidP="006359F8">
      <w:pPr>
        <w:spacing w:after="0" w:line="240" w:lineRule="auto"/>
        <w:jc w:val="center"/>
        <w:rPr>
          <w:rFonts w:ascii="Arial" w:eastAsia="Times New Roman" w:hAnsi="Arial" w:cs="Arial"/>
          <w:color w:val="494949"/>
          <w:sz w:val="18"/>
          <w:szCs w:val="18"/>
        </w:rPr>
      </w:pPr>
      <w:r w:rsidRPr="006359F8">
        <w:rPr>
          <w:rFonts w:ascii="Arial" w:eastAsia="Times New Roman" w:hAnsi="Arial" w:cs="Arial"/>
          <w:b/>
          <w:bCs/>
          <w:color w:val="494949"/>
          <w:sz w:val="24"/>
          <w:szCs w:val="24"/>
        </w:rPr>
        <w:t>Nhập khẩu của Việt Nam từ Bờ Biển Ngà năm 2014</w:t>
      </w:r>
    </w:p>
    <w:p w:rsidR="006359F8" w:rsidRPr="006359F8" w:rsidRDefault="006359F8" w:rsidP="006359F8">
      <w:pPr>
        <w:spacing w:line="240" w:lineRule="auto"/>
        <w:jc w:val="both"/>
        <w:rPr>
          <w:rFonts w:ascii="Arial" w:eastAsia="Times New Roman" w:hAnsi="Arial" w:cs="Arial"/>
          <w:color w:val="494949"/>
          <w:sz w:val="18"/>
          <w:szCs w:val="18"/>
        </w:rPr>
      </w:pPr>
      <w:r w:rsidRPr="006359F8">
        <w:rPr>
          <w:rFonts w:ascii="Arial" w:eastAsia="Times New Roman" w:hAnsi="Arial" w:cs="Arial"/>
          <w:color w:val="494949"/>
          <w:sz w:val="18"/>
          <w:szCs w:val="18"/>
        </w:rPr>
        <w:t> </w:t>
      </w:r>
    </w:p>
    <w:tbl>
      <w:tblPr>
        <w:tblW w:w="85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45"/>
        <w:gridCol w:w="2550"/>
      </w:tblGrid>
      <w:tr w:rsidR="006359F8" w:rsidRPr="006359F8" w:rsidTr="006359F8">
        <w:trPr>
          <w:tblCellSpacing w:w="0" w:type="dxa"/>
        </w:trPr>
        <w:tc>
          <w:tcPr>
            <w:tcW w:w="601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jc w:val="center"/>
              <w:rPr>
                <w:rFonts w:eastAsia="Times New Roman" w:cs="Times New Roman"/>
                <w:sz w:val="24"/>
                <w:szCs w:val="24"/>
              </w:rPr>
            </w:pPr>
            <w:r w:rsidRPr="006359F8">
              <w:rPr>
                <w:rFonts w:eastAsia="Times New Roman" w:cs="Times New Roman"/>
                <w:b/>
                <w:bCs/>
                <w:sz w:val="24"/>
                <w:szCs w:val="24"/>
              </w:rPr>
              <w:t>Mặt hàng Việt Nam nhập khẩu từ Bờ Biển Ngà</w:t>
            </w:r>
          </w:p>
        </w:tc>
        <w:tc>
          <w:tcPr>
            <w:tcW w:w="252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jc w:val="center"/>
              <w:rPr>
                <w:rFonts w:eastAsia="Times New Roman" w:cs="Times New Roman"/>
                <w:sz w:val="24"/>
                <w:szCs w:val="24"/>
              </w:rPr>
            </w:pPr>
            <w:r w:rsidRPr="006359F8">
              <w:rPr>
                <w:rFonts w:eastAsia="Times New Roman" w:cs="Times New Roman"/>
                <w:b/>
                <w:bCs/>
                <w:sz w:val="24"/>
                <w:szCs w:val="24"/>
              </w:rPr>
              <w:t>Kim ngạch (USD)</w:t>
            </w:r>
          </w:p>
        </w:tc>
      </w:tr>
      <w:tr w:rsidR="006359F8" w:rsidRPr="006359F8" w:rsidTr="006359F8">
        <w:trPr>
          <w:tblCellSpacing w:w="0" w:type="dxa"/>
        </w:trPr>
        <w:tc>
          <w:tcPr>
            <w:tcW w:w="601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Hạt điều</w:t>
            </w:r>
          </w:p>
        </w:tc>
        <w:tc>
          <w:tcPr>
            <w:tcW w:w="252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          180,561,000</w:t>
            </w:r>
          </w:p>
        </w:tc>
      </w:tr>
      <w:tr w:rsidR="006359F8" w:rsidRPr="006359F8" w:rsidTr="006359F8">
        <w:trPr>
          <w:tblCellSpacing w:w="0" w:type="dxa"/>
        </w:trPr>
        <w:tc>
          <w:tcPr>
            <w:tcW w:w="601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Bông các loại</w:t>
            </w:r>
          </w:p>
        </w:tc>
        <w:tc>
          <w:tcPr>
            <w:tcW w:w="252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            63,975,514</w:t>
            </w:r>
          </w:p>
        </w:tc>
      </w:tr>
      <w:tr w:rsidR="006359F8" w:rsidRPr="006359F8" w:rsidTr="006359F8">
        <w:trPr>
          <w:tblCellSpacing w:w="0" w:type="dxa"/>
        </w:trPr>
        <w:tc>
          <w:tcPr>
            <w:tcW w:w="601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Gỗ &amp; sản phẩm gỗ</w:t>
            </w:r>
          </w:p>
        </w:tc>
        <w:tc>
          <w:tcPr>
            <w:tcW w:w="252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              2,160,072</w:t>
            </w:r>
          </w:p>
        </w:tc>
      </w:tr>
      <w:tr w:rsidR="006359F8" w:rsidRPr="006359F8" w:rsidTr="006359F8">
        <w:trPr>
          <w:tblCellSpacing w:w="0" w:type="dxa"/>
        </w:trPr>
        <w:tc>
          <w:tcPr>
            <w:tcW w:w="601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Cà phê</w:t>
            </w:r>
          </w:p>
        </w:tc>
        <w:tc>
          <w:tcPr>
            <w:tcW w:w="252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              1,574,835</w:t>
            </w:r>
          </w:p>
        </w:tc>
      </w:tr>
      <w:tr w:rsidR="006359F8" w:rsidRPr="006359F8" w:rsidTr="006359F8">
        <w:trPr>
          <w:tblCellSpacing w:w="0" w:type="dxa"/>
        </w:trPr>
        <w:tc>
          <w:tcPr>
            <w:tcW w:w="601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Hàng hoá khác</w:t>
            </w:r>
          </w:p>
        </w:tc>
        <w:tc>
          <w:tcPr>
            <w:tcW w:w="252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              1,352,126</w:t>
            </w:r>
          </w:p>
        </w:tc>
      </w:tr>
      <w:tr w:rsidR="006359F8" w:rsidRPr="006359F8" w:rsidTr="006359F8">
        <w:trPr>
          <w:tblCellSpacing w:w="0" w:type="dxa"/>
        </w:trPr>
        <w:tc>
          <w:tcPr>
            <w:tcW w:w="601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Hàng rau quả</w:t>
            </w:r>
          </w:p>
        </w:tc>
        <w:tc>
          <w:tcPr>
            <w:tcW w:w="252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                 214,314</w:t>
            </w:r>
          </w:p>
        </w:tc>
      </w:tr>
      <w:tr w:rsidR="006359F8" w:rsidRPr="006359F8" w:rsidTr="006359F8">
        <w:trPr>
          <w:tblCellSpacing w:w="0" w:type="dxa"/>
        </w:trPr>
        <w:tc>
          <w:tcPr>
            <w:tcW w:w="601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Sắt thép phế liệu</w:t>
            </w:r>
          </w:p>
        </w:tc>
        <w:tc>
          <w:tcPr>
            <w:tcW w:w="252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                 141,702</w:t>
            </w:r>
          </w:p>
        </w:tc>
      </w:tr>
      <w:tr w:rsidR="006359F8" w:rsidRPr="006359F8" w:rsidTr="006359F8">
        <w:trPr>
          <w:tblCellSpacing w:w="0" w:type="dxa"/>
        </w:trPr>
        <w:tc>
          <w:tcPr>
            <w:tcW w:w="601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Hàng hải sản</w:t>
            </w:r>
          </w:p>
        </w:tc>
        <w:tc>
          <w:tcPr>
            <w:tcW w:w="252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sz w:val="24"/>
                <w:szCs w:val="24"/>
              </w:rPr>
              <w:t>                   83,720</w:t>
            </w:r>
          </w:p>
        </w:tc>
      </w:tr>
      <w:tr w:rsidR="006359F8" w:rsidRPr="006359F8" w:rsidTr="006359F8">
        <w:trPr>
          <w:tblCellSpacing w:w="0" w:type="dxa"/>
        </w:trPr>
        <w:tc>
          <w:tcPr>
            <w:tcW w:w="6015"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b/>
                <w:bCs/>
                <w:sz w:val="24"/>
                <w:szCs w:val="24"/>
              </w:rPr>
              <w:t>Tổng cộng</w:t>
            </w:r>
          </w:p>
        </w:tc>
        <w:tc>
          <w:tcPr>
            <w:tcW w:w="2520" w:type="dxa"/>
            <w:tcBorders>
              <w:top w:val="outset" w:sz="6" w:space="0" w:color="auto"/>
              <w:left w:val="outset" w:sz="6" w:space="0" w:color="auto"/>
              <w:bottom w:val="outset" w:sz="6" w:space="0" w:color="auto"/>
              <w:right w:val="outset" w:sz="6" w:space="0" w:color="auto"/>
            </w:tcBorders>
            <w:noWrap/>
            <w:vAlign w:val="bottom"/>
            <w:hideMark/>
          </w:tcPr>
          <w:p w:rsidR="006359F8" w:rsidRPr="006359F8" w:rsidRDefault="006359F8" w:rsidP="006359F8">
            <w:pPr>
              <w:spacing w:after="0" w:line="240" w:lineRule="auto"/>
              <w:rPr>
                <w:rFonts w:eastAsia="Times New Roman" w:cs="Times New Roman"/>
                <w:sz w:val="24"/>
                <w:szCs w:val="24"/>
              </w:rPr>
            </w:pPr>
            <w:r w:rsidRPr="006359F8">
              <w:rPr>
                <w:rFonts w:eastAsia="Times New Roman" w:cs="Times New Roman"/>
                <w:b/>
                <w:bCs/>
                <w:i/>
                <w:iCs/>
                <w:sz w:val="24"/>
                <w:szCs w:val="24"/>
              </w:rPr>
              <w:t>             250,063,283</w:t>
            </w:r>
          </w:p>
        </w:tc>
      </w:tr>
    </w:tbl>
    <w:p w:rsidR="006359F8" w:rsidRPr="006359F8" w:rsidRDefault="006359F8" w:rsidP="006359F8">
      <w:pPr>
        <w:spacing w:after="0" w:line="240" w:lineRule="auto"/>
        <w:jc w:val="center"/>
        <w:rPr>
          <w:rFonts w:ascii="Arial" w:eastAsia="Times New Roman" w:hAnsi="Arial" w:cs="Arial"/>
          <w:color w:val="494949"/>
          <w:sz w:val="18"/>
          <w:szCs w:val="18"/>
        </w:rPr>
      </w:pPr>
      <w:r w:rsidRPr="006359F8">
        <w:rPr>
          <w:rFonts w:ascii="Arial" w:eastAsia="Times New Roman" w:hAnsi="Arial" w:cs="Arial"/>
          <w:color w:val="494949"/>
          <w:sz w:val="18"/>
          <w:szCs w:val="18"/>
        </w:rPr>
        <w:t> </w:t>
      </w:r>
    </w:p>
    <w:p w:rsidR="006359F8" w:rsidRPr="006359F8" w:rsidRDefault="006359F8" w:rsidP="006359F8">
      <w:pPr>
        <w:spacing w:after="0" w:line="240" w:lineRule="auto"/>
        <w:jc w:val="right"/>
        <w:rPr>
          <w:rFonts w:ascii="Arial" w:eastAsia="Times New Roman" w:hAnsi="Arial" w:cs="Arial"/>
          <w:color w:val="494949"/>
          <w:sz w:val="18"/>
          <w:szCs w:val="18"/>
        </w:rPr>
      </w:pPr>
      <w:r w:rsidRPr="006359F8">
        <w:rPr>
          <w:rFonts w:ascii="Arial" w:eastAsia="Times New Roman" w:hAnsi="Arial" w:cs="Arial"/>
          <w:i/>
          <w:iCs/>
          <w:color w:val="494949"/>
          <w:sz w:val="18"/>
          <w:szCs w:val="18"/>
        </w:rPr>
        <w:t> Nguồn: Tổng cục Hải quan Việt Nam</w:t>
      </w:r>
    </w:p>
    <w:p w:rsidR="006359F8" w:rsidRPr="006359F8" w:rsidRDefault="006359F8" w:rsidP="006359F8">
      <w:pPr>
        <w:spacing w:after="0" w:line="240" w:lineRule="auto"/>
        <w:jc w:val="both"/>
        <w:rPr>
          <w:rFonts w:ascii="Arial" w:eastAsia="Times New Roman" w:hAnsi="Arial" w:cs="Arial"/>
          <w:color w:val="494949"/>
          <w:sz w:val="18"/>
          <w:szCs w:val="18"/>
        </w:rPr>
      </w:pPr>
      <w:r w:rsidRPr="006359F8">
        <w:rPr>
          <w:rFonts w:ascii="Arial" w:eastAsia="Times New Roman" w:hAnsi="Arial" w:cs="Arial"/>
          <w:color w:val="494949"/>
          <w:sz w:val="24"/>
          <w:szCs w:val="24"/>
        </w:rPr>
        <w:br/>
        <w:t>Trong 4 tháng đầu năm 2015, kim ngạch xuất khẩu của Việt Nam sang Bờ Biển Ngà chỉ đạt 33,2 triệu USD, giảm 13% so với cùng kỳ năm trước trong đó xuất gạo đạt 25,68 triệu USD (+22%), hàng dệt may chỉ dạt 0,36 triệu USD (-90%). Về nhập khẩu, kim ngạch đạt 28,55 triệu USD trong đó bông các loại chiếm 18,6 triệu USD, hạt điều 9,2 triệu USD./.                                              </w:t>
      </w:r>
    </w:p>
    <w:p w:rsidR="006359F8" w:rsidRPr="006359F8" w:rsidRDefault="006359F8" w:rsidP="006359F8">
      <w:pPr>
        <w:spacing w:line="240" w:lineRule="auto"/>
        <w:jc w:val="right"/>
        <w:rPr>
          <w:rFonts w:ascii="Arial" w:eastAsia="Times New Roman" w:hAnsi="Arial" w:cs="Arial"/>
          <w:color w:val="494949"/>
          <w:sz w:val="18"/>
          <w:szCs w:val="18"/>
        </w:rPr>
      </w:pPr>
      <w:r w:rsidRPr="006359F8">
        <w:rPr>
          <w:rFonts w:ascii="Arial" w:eastAsia="Times New Roman" w:hAnsi="Arial" w:cs="Arial"/>
          <w:color w:val="494949"/>
          <w:sz w:val="24"/>
          <w:szCs w:val="24"/>
        </w:rPr>
        <w:t>                                                                   Hoàng Đức Nhuận</w:t>
      </w:r>
    </w:p>
    <w:p w:rsidR="002F7A62" w:rsidRPr="006359F8" w:rsidRDefault="002F7A62" w:rsidP="006359F8">
      <w:bookmarkStart w:id="0" w:name="_GoBack"/>
      <w:bookmarkEnd w:id="0"/>
    </w:p>
    <w:sectPr w:rsidR="002F7A62" w:rsidRPr="006359F8"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997"/>
    <w:rsid w:val="002F7A62"/>
    <w:rsid w:val="003740F2"/>
    <w:rsid w:val="006359F8"/>
    <w:rsid w:val="00CF39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901A3F-20E6-4A36-AE17-E6C74EF13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3997"/>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CF3997"/>
    <w:rPr>
      <w:i/>
      <w:iCs/>
    </w:rPr>
  </w:style>
  <w:style w:type="character" w:styleId="Strong">
    <w:name w:val="Strong"/>
    <w:basedOn w:val="DefaultParagraphFont"/>
    <w:uiPriority w:val="22"/>
    <w:qFormat/>
    <w:rsid w:val="006359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542198">
      <w:bodyDiv w:val="1"/>
      <w:marLeft w:val="0"/>
      <w:marRight w:val="0"/>
      <w:marTop w:val="0"/>
      <w:marBottom w:val="0"/>
      <w:divBdr>
        <w:top w:val="none" w:sz="0" w:space="0" w:color="auto"/>
        <w:left w:val="none" w:sz="0" w:space="0" w:color="auto"/>
        <w:bottom w:val="none" w:sz="0" w:space="0" w:color="auto"/>
        <w:right w:val="none" w:sz="0" w:space="0" w:color="auto"/>
      </w:divBdr>
      <w:divsChild>
        <w:div w:id="1188715981">
          <w:marLeft w:val="0"/>
          <w:marRight w:val="0"/>
          <w:marTop w:val="0"/>
          <w:marBottom w:val="150"/>
          <w:divBdr>
            <w:top w:val="none" w:sz="0" w:space="0" w:color="auto"/>
            <w:left w:val="none" w:sz="0" w:space="0" w:color="auto"/>
            <w:bottom w:val="none" w:sz="0" w:space="0" w:color="auto"/>
            <w:right w:val="none" w:sz="0" w:space="0" w:color="auto"/>
          </w:divBdr>
        </w:div>
        <w:div w:id="168713980">
          <w:marLeft w:val="0"/>
          <w:marRight w:val="0"/>
          <w:marTop w:val="0"/>
          <w:marBottom w:val="300"/>
          <w:divBdr>
            <w:top w:val="none" w:sz="0" w:space="0" w:color="auto"/>
            <w:left w:val="none" w:sz="0" w:space="0" w:color="auto"/>
            <w:bottom w:val="none" w:sz="0" w:space="0" w:color="auto"/>
            <w:right w:val="none" w:sz="0" w:space="0" w:color="auto"/>
          </w:divBdr>
        </w:div>
      </w:divsChild>
    </w:div>
    <w:div w:id="663780780">
      <w:bodyDiv w:val="1"/>
      <w:marLeft w:val="0"/>
      <w:marRight w:val="0"/>
      <w:marTop w:val="0"/>
      <w:marBottom w:val="0"/>
      <w:divBdr>
        <w:top w:val="none" w:sz="0" w:space="0" w:color="auto"/>
        <w:left w:val="none" w:sz="0" w:space="0" w:color="auto"/>
        <w:bottom w:val="none" w:sz="0" w:space="0" w:color="auto"/>
        <w:right w:val="none" w:sz="0" w:space="0" w:color="auto"/>
      </w:divBdr>
      <w:divsChild>
        <w:div w:id="152379636">
          <w:marLeft w:val="0"/>
          <w:marRight w:val="0"/>
          <w:marTop w:val="0"/>
          <w:marBottom w:val="150"/>
          <w:divBdr>
            <w:top w:val="none" w:sz="0" w:space="0" w:color="auto"/>
            <w:left w:val="none" w:sz="0" w:space="0" w:color="auto"/>
            <w:bottom w:val="none" w:sz="0" w:space="0" w:color="auto"/>
            <w:right w:val="none" w:sz="0" w:space="0" w:color="auto"/>
          </w:divBdr>
        </w:div>
        <w:div w:id="95278971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1474</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2022-09-04T03:00:00Z</dcterms:created>
  <dcterms:modified xsi:type="dcterms:W3CDTF">2022-09-04T03:00:00Z</dcterms:modified>
</cp:coreProperties>
</file>