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E9C" w:rsidRPr="00607E9C" w:rsidRDefault="00607E9C" w:rsidP="00607E9C">
      <w:pPr>
        <w:spacing w:after="150" w:line="240" w:lineRule="auto"/>
        <w:rPr>
          <w:rFonts w:ascii="Arial" w:eastAsia="Times New Roman" w:hAnsi="Arial" w:cs="Arial"/>
          <w:b/>
          <w:bCs/>
          <w:color w:val="494949"/>
          <w:sz w:val="18"/>
          <w:szCs w:val="18"/>
        </w:rPr>
      </w:pPr>
      <w:r w:rsidRPr="00607E9C">
        <w:rPr>
          <w:rFonts w:ascii="Arial" w:eastAsia="Times New Roman" w:hAnsi="Arial" w:cs="Arial"/>
          <w:b/>
          <w:bCs/>
          <w:color w:val="494949"/>
          <w:sz w:val="18"/>
          <w:szCs w:val="18"/>
        </w:rPr>
        <w:t>Thương vụ Việt Nam tại Ma rốc xin giới thiệu tới bạn đọc tham khảo một số điểm đáng lưu ý trong thanh toán xuất khẩu tại Côte dvoire.</w:t>
      </w:r>
    </w:p>
    <w:p w:rsidR="00607E9C" w:rsidRPr="00607E9C" w:rsidRDefault="00607E9C" w:rsidP="00607E9C">
      <w:pPr>
        <w:spacing w:after="0" w:line="240" w:lineRule="auto"/>
        <w:jc w:val="both"/>
        <w:rPr>
          <w:rFonts w:ascii="Arial" w:eastAsia="Times New Roman" w:hAnsi="Arial" w:cs="Arial"/>
          <w:color w:val="494949"/>
          <w:sz w:val="18"/>
          <w:szCs w:val="18"/>
        </w:rPr>
      </w:pPr>
      <w:r w:rsidRPr="00607E9C">
        <w:rPr>
          <w:rFonts w:ascii="Arial" w:eastAsia="Times New Roman" w:hAnsi="Arial" w:cs="Arial"/>
          <w:b/>
          <w:bCs/>
          <w:color w:val="494949"/>
          <w:sz w:val="18"/>
          <w:szCs w:val="18"/>
        </w:rPr>
        <w:t>1. Đồng Franc CFA và khu vực UEMOA</w:t>
      </w:r>
    </w:p>
    <w:p w:rsidR="00607E9C" w:rsidRPr="00607E9C" w:rsidRDefault="00607E9C" w:rsidP="00607E9C">
      <w:pPr>
        <w:spacing w:after="0" w:line="240" w:lineRule="auto"/>
        <w:jc w:val="both"/>
        <w:rPr>
          <w:rFonts w:ascii="Arial" w:eastAsia="Times New Roman" w:hAnsi="Arial" w:cs="Arial"/>
          <w:color w:val="494949"/>
          <w:sz w:val="18"/>
          <w:szCs w:val="18"/>
        </w:rPr>
      </w:pPr>
      <w:r w:rsidRPr="00607E9C">
        <w:rPr>
          <w:rFonts w:ascii="Arial" w:eastAsia="Times New Roman" w:hAnsi="Arial" w:cs="Arial"/>
          <w:color w:val="494949"/>
          <w:sz w:val="18"/>
          <w:szCs w:val="18"/>
        </w:rPr>
        <w:t>Đồng tiền của Côte d’Ivoire là đồng franc CFA, dùng chung trong 8 nước của Liên minh Kinh tế, Tiền tệ Tây Phi (UEMOA), ngoài Côte d’Ivoire ra còn có Bénin, Burkina Faso, Ghinée Bissau, Mali, Niger, Sénégal và Togo. Đồng tiền này do Ngân hàng Trung ương các Quốc gia Tây Phi (BCEAO) phát hành. Cũng giống như các nước thành viên khác của UEMOA, Côte d’Ivoire không có ngân hàng trung ương độc lập: Các khoản dự trữ ngoại tệ do BCEAO nắm giữ. Lưu ý : Đồng franc CFA do Ngân hàng các Quốc gia Trung Phi (BEAC) phát hành không có giá trị trong khu vực UEMOA. Tỷ giá : 1USD = 485,60 FCFA (1/6/2007)</w:t>
      </w:r>
      <w:r w:rsidRPr="00607E9C">
        <w:rPr>
          <w:rFonts w:ascii="Arial" w:eastAsia="Times New Roman" w:hAnsi="Arial" w:cs="Arial"/>
          <w:b/>
          <w:bCs/>
          <w:color w:val="494949"/>
          <w:sz w:val="18"/>
          <w:szCs w:val="18"/>
        </w:rPr>
        <w:br/>
      </w:r>
      <w:r w:rsidRPr="00607E9C">
        <w:rPr>
          <w:rFonts w:ascii="Arial" w:eastAsia="Times New Roman" w:hAnsi="Arial" w:cs="Arial"/>
          <w:b/>
          <w:bCs/>
          <w:color w:val="494949"/>
          <w:sz w:val="18"/>
          <w:szCs w:val="18"/>
        </w:rPr>
        <w:br/>
        <w:t>2. Thanh toán hàng nhập khẩu</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rPr>
        <w:t>Ưu tiên thanh toán bằng chứng từ</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Tất cả các phương tiện thanh toán được quốc tế công nhận đều được chấp nhận tại Côte d’Ivoire.</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Tuy nhiên, việc chuyển SWIFT, tín dụng thư, giao bộ chứng từ hoặc séc có xác nhận bằng euro là những công cụ thanh toán được sử dụng nhiều nhất trong thương mại quốc tế với nước này. Thời hạn và chi phí hoàn toàn có thể so sánh với các tiêu chuẩn quốc tế; Để phát hành thư bảo đảm, cần trả khoảng 2% tổng số tiền và mất 48 h trong giai đoạn bình thường.</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rPr>
        <w:t>Do số lượng các hành vi lừa đảo bằng thẻ ngân hàng ngày càng tăng (thẻ bị đánh cắp), các doanh nghiệp nên tránh sử dụng phương tiện thanh toán này khi xuất khẩu sang Côte d’Ivoire.</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Do tình hình kinh tế Côte d’Ivoire không thuận lợi từ vài năm nay nên tín dụng thư đã trở thành phương tiện an toàn nhất để bảo vệ các DN khỏi những rủi ro không thanh toán. Tuy nhiên công cụ này vẫn tốn kém nhất.</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Đối với việc thanh toán bằng chuyển SWIFT hoặc bằng séc có xác nhận, cần chú ý đến việc hợp thức hoá các giấy tờ tại ngân hàng của bạn trước khi gửi hàng.</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Euro là đồng tiền ghi hoá đơn tốt nhất tại Côte d’Ivoire. Tuy nhiên đồng USD cũng được sử dụng rộng rãi.</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Trong các mối quan hệ thương mại mới, nên tiến hành điều tra trước đối tác. Các đại lý ngân hàng vẫn là phương tiện chắc chắn nhất để tìm hiểu thông tin về khách hàng.</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b/>
          <w:bCs/>
          <w:color w:val="494949"/>
          <w:sz w:val="18"/>
          <w:szCs w:val="18"/>
        </w:rPr>
        <w:t>3. Quy định hối đoái</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rPr>
        <w:t>Có sự đồng ý trước của chính quyền địa phương</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Nhìn chung, các hoạt động chuyển tiền ra nước ngoài từ Côte d’Ivoire được tự do đối với những khoản tiền thấp hơn hoặc bằng 300.000 FCFA. Vượt quá mức này, việc chuyển tiền phải có giấy phép có thể do người trung gian có thẩm quyền cấp (chẳng hạn như ngân hàng), hoặc do Kho bạc Nhà nước (Ban Tài chính đối ngoại-FINEX) cấp.</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lang w:val="fr-FR"/>
        </w:rPr>
        <w:t>Direction des Finances Extérieures (FINEX)</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lang w:val="fr-FR"/>
        </w:rPr>
        <w:t>Địa chỉ : Cité Financière, Tour Impôt, 9</w:t>
      </w:r>
      <w:r w:rsidRPr="00607E9C">
        <w:rPr>
          <w:rFonts w:ascii="Arial" w:eastAsia="Times New Roman" w:hAnsi="Arial" w:cs="Arial"/>
          <w:b/>
          <w:bCs/>
          <w:i/>
          <w:iCs/>
          <w:color w:val="494949"/>
          <w:sz w:val="18"/>
          <w:szCs w:val="18"/>
          <w:vertAlign w:val="superscript"/>
          <w:lang w:val="fr-FR"/>
        </w:rPr>
        <w:t>ème</w:t>
      </w:r>
      <w:r w:rsidRPr="00607E9C">
        <w:rPr>
          <w:rFonts w:ascii="Arial" w:eastAsia="Times New Roman" w:hAnsi="Arial" w:cs="Arial"/>
          <w:b/>
          <w:bCs/>
          <w:i/>
          <w:iCs/>
          <w:color w:val="494949"/>
          <w:sz w:val="18"/>
          <w:szCs w:val="18"/>
          <w:lang w:val="fr-FR"/>
        </w:rPr>
        <w:t> étage, BP V 149 Abidjan</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lang w:val="fr-FR"/>
        </w:rPr>
        <w:t>Côte d’Ivoire, Tel : 225 20 21 90 67, Fax : 225 20 21 01 26</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color w:val="494949"/>
          <w:sz w:val="18"/>
          <w:szCs w:val="18"/>
          <w:lang w:val="fr-FR"/>
        </w:rPr>
        <w:t>Những giấy tờ cần cho việc cấp phép này phụ thuộc vào tính chất của nghiệp vụ :</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i/>
          <w:iCs/>
          <w:color w:val="494949"/>
          <w:sz w:val="18"/>
          <w:szCs w:val="18"/>
          <w:lang w:val="fr-FR"/>
        </w:rPr>
        <w:t>- Việc chuyển cổ tức và lãi trái phiếu:</w:t>
      </w:r>
      <w:r w:rsidRPr="00607E9C">
        <w:rPr>
          <w:rFonts w:ascii="Arial" w:eastAsia="Times New Roman" w:hAnsi="Arial" w:cs="Arial"/>
          <w:color w:val="494949"/>
          <w:sz w:val="18"/>
          <w:szCs w:val="18"/>
          <w:lang w:val="fr-FR"/>
        </w:rPr>
        <w:t> Cần có lệnh chuyển tiền, Trích lục biên bản của đại hội cổ đông, báo cáo của hội đồng quản trị, báo cáo có tên và địa chỉ người nhận, bảng quyết toán, giấy chứng nhận thanh toán thuế hoặc giấy miễn trách nhiệm phân chia % (không bắt buộc đối với các công ty niêm yết trên thị trường chứng khoán).</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i/>
          <w:iCs/>
          <w:color w:val="494949"/>
          <w:sz w:val="18"/>
          <w:szCs w:val="18"/>
          <w:lang w:val="fr-FR"/>
        </w:rPr>
        <w:t>- Nhập khẩu trong khu vực đồng franc hoặc ngoài khu vực đồng franc</w:t>
      </w:r>
      <w:r w:rsidRPr="00607E9C">
        <w:rPr>
          <w:rFonts w:ascii="Arial" w:eastAsia="Times New Roman" w:hAnsi="Arial" w:cs="Arial"/>
          <w:color w:val="494949"/>
          <w:sz w:val="18"/>
          <w:szCs w:val="18"/>
          <w:lang w:val="fr-FR"/>
        </w:rPr>
        <w:t> : Cần có hoá đơn, giấy chứng nhận nhập khẩu, giấy chứng nhận thanh toán tài chính, tờ khai hải quan. Đối với hàng tươi sống hoặc đã qua sử dụng, cần có hoá đơn hình thức.</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i/>
          <w:iCs/>
          <w:color w:val="494949"/>
          <w:sz w:val="18"/>
          <w:szCs w:val="18"/>
          <w:lang w:val="fr-FR"/>
        </w:rPr>
        <w:t>- Tiền nhập khẩu trả trước :</w:t>
      </w:r>
      <w:r w:rsidRPr="00607E9C">
        <w:rPr>
          <w:rFonts w:ascii="Arial" w:eastAsia="Times New Roman" w:hAnsi="Arial" w:cs="Arial"/>
          <w:color w:val="494949"/>
          <w:sz w:val="18"/>
          <w:szCs w:val="18"/>
          <w:lang w:val="fr-FR"/>
        </w:rPr>
        <w:t> Cần có hoá đơn hình thức, bản gốc phiếu chỉ dẫn nhập khẩu (FRI) và bản sao séc. Tổng số tiền trả trước (tạm ứng) không được vượt quá 50% tổng số tiền ghi trong hoá đơn.</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i/>
          <w:iCs/>
          <w:color w:val="494949"/>
          <w:sz w:val="18"/>
          <w:szCs w:val="18"/>
          <w:lang w:val="fr-FR"/>
        </w:rPr>
        <w:t>Chú ý : Việc nhập khẩu hàng từ các nước ngoài UEMOA có giá trị trên 5 triệu FCFA đòi hỏi phải chỉ định nơi thanh toán (địa chỉ pháp lý).</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b/>
          <w:bCs/>
          <w:color w:val="494949"/>
          <w:sz w:val="18"/>
          <w:szCs w:val="18"/>
          <w:lang w:val="fr-FR"/>
        </w:rPr>
        <w:t>Giao dịch trong nước</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lang w:val="fr-FR"/>
        </w:rPr>
        <w:t>Lời khuyên đối với khách du lịch</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lang w:val="fr-FR"/>
        </w:rPr>
        <w:t>Tại Côte d’Ivoire, việc thanh toán được thực hiện bằng tiền mặt và bằng đồng franc CFA. Việc sử dụng thẻ tín dụng chỉ hạn chế ở những khách sạn lớn, một số siêu thị và cửa hàng. Trong những thành phố chính của đất nước, có nhiều cửa bán vé tự động chấp nhận thẻ quốc tế. Séc tại ngân hàng của Pháp đôi khi cũng được chấp nhận.</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Việc người dân của Liên minh Kinh tế Tiền tệ Tây Phi (UEMOA) mang theo tiền giấy do Ngân hàng Trung ương các Quốc gia Tây Phi (BCEAO) phát hành khi đi lại trong khu vực này không cần phải có giấy phép. Khách du lịch thuộc UEMOA đến một nước không phải thành viên UEMOA cũng có thể tự do mang đến 2 triệu FCFA. Các khoản tiền cao hơn mức này phải sử dụng séc du lịch hoặc một phương tiện thanh toán nào đó ghi bằng ngoại tệ.</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Khách du lịch không phải là người ở UEMOA mang tiền giấy của ngân hàng khu vực đồng franc hoặc các phương tiện thanh toán khác ghi bằng ngoại tệ vào UEMOA bắt buộc phải khai báo khi tổng số tiền lớn hơn 1 triệu FCFA. Mức này được giảm xuống 500.000 FCFA nếu đó là ngoại tệ.</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b/>
          <w:bCs/>
          <w:color w:val="494949"/>
          <w:sz w:val="18"/>
          <w:szCs w:val="18"/>
        </w:rPr>
        <w:t> </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b/>
          <w:bCs/>
          <w:color w:val="494949"/>
          <w:sz w:val="18"/>
          <w:szCs w:val="18"/>
        </w:rPr>
        <w:t>4. Cảnh báo</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rPr>
        <w:t>Chú ý với các hành vi lừa đảo</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Hiện nay ngày càng có nhiều trường hợp lừa đảo mà mục tiêu chủ yếu là các doanh nghiệp vừa và nhỏ hoặc các thể nhân ở nước ngoài. Các sơ đồ thường được sử dụng như sau :</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color w:val="494949"/>
          <w:sz w:val="18"/>
          <w:szCs w:val="18"/>
        </w:rPr>
        <w:t>Trong các giao dịch thương mại</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Có một số người xin bạn một bản báo giá đối với 1 mặt hàng nào đó dưới danh nghĩa một công ty ma. Họ thường sẽ trả lời fax, thư điện tử và điện thoại của bạn.</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Sau đó, họ sẽ chuyển cho bạn một đơn đặt hàng sau khi:</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color w:val="494949"/>
          <w:sz w:val="18"/>
          <w:szCs w:val="18"/>
        </w:rPr>
        <w:lastRenderedPageBreak/>
        <w:t>- Thanh toán bằng </w:t>
      </w:r>
      <w:r w:rsidRPr="00607E9C">
        <w:rPr>
          <w:rFonts w:ascii="Arial" w:eastAsia="Times New Roman" w:hAnsi="Arial" w:cs="Arial"/>
          <w:b/>
          <w:bCs/>
          <w:color w:val="494949"/>
          <w:sz w:val="18"/>
          <w:szCs w:val="18"/>
        </w:rPr>
        <w:t>thẻ ngân hàng</w:t>
      </w:r>
      <w:r w:rsidRPr="00607E9C">
        <w:rPr>
          <w:rFonts w:ascii="Arial" w:eastAsia="Times New Roman" w:hAnsi="Arial" w:cs="Arial"/>
          <w:color w:val="494949"/>
          <w:sz w:val="18"/>
          <w:szCs w:val="18"/>
        </w:rPr>
        <w:t> (đã đánh cắp hoặc cướp được) và tài khoản của bạn trên thực tế sẽ được ghi có nhưng số tiền đã rót sau đó sẽ chuyển thành ghi nợ do ngân hàng của bạn sẽ phát hiện ra đó là việc thanh toán gian lận.</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b/>
          <w:bCs/>
          <w:color w:val="494949"/>
          <w:sz w:val="18"/>
          <w:szCs w:val="18"/>
        </w:rPr>
        <w:t>- Chuyển tiền</w:t>
      </w:r>
      <w:r w:rsidRPr="00607E9C">
        <w:rPr>
          <w:rFonts w:ascii="Arial" w:eastAsia="Times New Roman" w:hAnsi="Arial" w:cs="Arial"/>
          <w:color w:val="494949"/>
          <w:sz w:val="18"/>
          <w:szCs w:val="18"/>
        </w:rPr>
        <w:t> thông qua 1 ngân hàng nước ngoài khá nổi tiếng, thường đặt tại Luân Đôn. Để chứng minh việc chuyển tiền này, họ sẽ gửi cho bạn một giấy chứng nhận của ngân hàng giả bao gồm địa chỉ các thành viên trong mạng lưới của họ. Nếu bạn liên lạc với những người này (thường được coi là cố vấn khách hàng của những ngân hàng đó), họ sẽ xác nhận với bạn là việc chuyển tiền đã được thực hiện.</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color w:val="494949"/>
          <w:sz w:val="18"/>
          <w:szCs w:val="18"/>
        </w:rPr>
        <w:t>Cuối cùng, họ sẽ ép bạn giao hàng càng nhanh càng tốt và khuyến khích bạn gửi hàng thông qua các công ty chuyển phát nhanh (dạng UPS, DHL hoặc Chronopost).</w:t>
      </w:r>
    </w:p>
    <w:p w:rsidR="00607E9C" w:rsidRPr="00607E9C" w:rsidRDefault="00607E9C" w:rsidP="00607E9C">
      <w:pPr>
        <w:spacing w:after="0" w:line="198" w:lineRule="atLeast"/>
        <w:jc w:val="both"/>
        <w:rPr>
          <w:rFonts w:ascii="Arial" w:eastAsia="Times New Roman" w:hAnsi="Arial" w:cs="Arial"/>
          <w:color w:val="494949"/>
          <w:sz w:val="18"/>
          <w:szCs w:val="18"/>
        </w:rPr>
      </w:pPr>
      <w:r w:rsidRPr="00607E9C">
        <w:rPr>
          <w:rFonts w:ascii="Arial" w:eastAsia="Times New Roman" w:hAnsi="Arial" w:cs="Arial"/>
          <w:color w:val="494949"/>
          <w:sz w:val="18"/>
          <w:szCs w:val="18"/>
        </w:rPr>
        <w:t>            </w:t>
      </w:r>
      <w:r w:rsidRPr="00607E9C">
        <w:rPr>
          <w:rFonts w:ascii="Arial" w:eastAsia="Times New Roman" w:hAnsi="Arial" w:cs="Arial"/>
          <w:b/>
          <w:bCs/>
          <w:i/>
          <w:iCs/>
          <w:color w:val="494949"/>
          <w:sz w:val="18"/>
          <w:szCs w:val="18"/>
        </w:rPr>
        <w:t>Để tránh những hành vi lừa đảo trên, các DN xuất khẩu nên tìm hiểu độ tin cậy của tất cả các đối tác thông qua Phòng Thương mại và Công nghiệp Côte d’Ivoire (Chambre de Commerce et d’Industrie de Côte d’Ivoire-CCICI)</w:t>
      </w:r>
    </w:p>
    <w:p w:rsidR="00607E9C" w:rsidRPr="00607E9C" w:rsidRDefault="00607E9C" w:rsidP="00607E9C">
      <w:pPr>
        <w:spacing w:after="0" w:line="198" w:lineRule="atLeast"/>
        <w:ind w:firstLine="348"/>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rPr>
        <w:t>Địa chỉ : Avenue Joseph Anoma, 01 BP 1399 Abidjan 01, Côte d’Ivoire</w:t>
      </w:r>
    </w:p>
    <w:p w:rsidR="00607E9C" w:rsidRPr="00607E9C" w:rsidRDefault="00607E9C" w:rsidP="00607E9C">
      <w:pPr>
        <w:spacing w:line="198" w:lineRule="atLeast"/>
        <w:ind w:right="-337"/>
        <w:jc w:val="both"/>
        <w:rPr>
          <w:rFonts w:ascii="Arial" w:eastAsia="Times New Roman" w:hAnsi="Arial" w:cs="Arial"/>
          <w:color w:val="494949"/>
          <w:sz w:val="18"/>
          <w:szCs w:val="18"/>
        </w:rPr>
      </w:pPr>
      <w:r w:rsidRPr="00607E9C">
        <w:rPr>
          <w:rFonts w:ascii="Arial" w:eastAsia="Times New Roman" w:hAnsi="Arial" w:cs="Arial"/>
          <w:b/>
          <w:bCs/>
          <w:i/>
          <w:iCs/>
          <w:color w:val="494949"/>
          <w:sz w:val="18"/>
          <w:szCs w:val="18"/>
        </w:rPr>
        <w:t>Tel: 225 20 33 16 00 ; Fax: 225 20 32 39 42; Email: </w:t>
      </w:r>
      <w:hyperlink r:id="rId4" w:history="1">
        <w:r w:rsidRPr="00607E9C">
          <w:rPr>
            <w:rFonts w:ascii="Arial" w:eastAsia="Times New Roman" w:hAnsi="Arial" w:cs="Arial"/>
            <w:b/>
            <w:bCs/>
            <w:i/>
            <w:iCs/>
            <w:color w:val="434343"/>
            <w:sz w:val="18"/>
            <w:szCs w:val="18"/>
            <w:u w:val="single"/>
          </w:rPr>
          <w:t>ccici@africaonline.co.ci</w:t>
        </w:r>
      </w:hyperlink>
    </w:p>
    <w:p w:rsidR="002F7A62" w:rsidRPr="00607E9C" w:rsidRDefault="002F7A62" w:rsidP="00607E9C">
      <w:bookmarkStart w:id="0" w:name="_GoBack"/>
      <w:bookmarkEnd w:id="0"/>
    </w:p>
    <w:sectPr w:rsidR="002F7A62" w:rsidRPr="00607E9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97"/>
    <w:rsid w:val="002F7A62"/>
    <w:rsid w:val="003740F2"/>
    <w:rsid w:val="00607E9C"/>
    <w:rsid w:val="006359F8"/>
    <w:rsid w:val="00CF3997"/>
    <w:rsid w:val="00DB39A0"/>
    <w:rsid w:val="00FE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01A3F-20E6-4A36-AE17-E6C74EF13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399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F3997"/>
    <w:rPr>
      <w:i/>
      <w:iCs/>
    </w:rPr>
  </w:style>
  <w:style w:type="character" w:styleId="Strong">
    <w:name w:val="Strong"/>
    <w:basedOn w:val="DefaultParagraphFont"/>
    <w:uiPriority w:val="22"/>
    <w:qFormat/>
    <w:rsid w:val="006359F8"/>
    <w:rPr>
      <w:b/>
      <w:bCs/>
    </w:rPr>
  </w:style>
  <w:style w:type="character" w:styleId="Hyperlink">
    <w:name w:val="Hyperlink"/>
    <w:basedOn w:val="DefaultParagraphFont"/>
    <w:uiPriority w:val="99"/>
    <w:semiHidden/>
    <w:unhideWhenUsed/>
    <w:rsid w:val="00607E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2625">
      <w:bodyDiv w:val="1"/>
      <w:marLeft w:val="0"/>
      <w:marRight w:val="0"/>
      <w:marTop w:val="0"/>
      <w:marBottom w:val="0"/>
      <w:divBdr>
        <w:top w:val="none" w:sz="0" w:space="0" w:color="auto"/>
        <w:left w:val="none" w:sz="0" w:space="0" w:color="auto"/>
        <w:bottom w:val="none" w:sz="0" w:space="0" w:color="auto"/>
        <w:right w:val="none" w:sz="0" w:space="0" w:color="auto"/>
      </w:divBdr>
      <w:divsChild>
        <w:div w:id="1161432670">
          <w:marLeft w:val="0"/>
          <w:marRight w:val="0"/>
          <w:marTop w:val="0"/>
          <w:marBottom w:val="150"/>
          <w:divBdr>
            <w:top w:val="none" w:sz="0" w:space="0" w:color="auto"/>
            <w:left w:val="none" w:sz="0" w:space="0" w:color="auto"/>
            <w:bottom w:val="none" w:sz="0" w:space="0" w:color="auto"/>
            <w:right w:val="none" w:sz="0" w:space="0" w:color="auto"/>
          </w:divBdr>
        </w:div>
        <w:div w:id="844319349">
          <w:marLeft w:val="0"/>
          <w:marRight w:val="0"/>
          <w:marTop w:val="0"/>
          <w:marBottom w:val="300"/>
          <w:divBdr>
            <w:top w:val="none" w:sz="0" w:space="0" w:color="auto"/>
            <w:left w:val="none" w:sz="0" w:space="0" w:color="auto"/>
            <w:bottom w:val="none" w:sz="0" w:space="0" w:color="auto"/>
            <w:right w:val="none" w:sz="0" w:space="0" w:color="auto"/>
          </w:divBdr>
        </w:div>
      </w:divsChild>
    </w:div>
    <w:div w:id="410542198">
      <w:bodyDiv w:val="1"/>
      <w:marLeft w:val="0"/>
      <w:marRight w:val="0"/>
      <w:marTop w:val="0"/>
      <w:marBottom w:val="0"/>
      <w:divBdr>
        <w:top w:val="none" w:sz="0" w:space="0" w:color="auto"/>
        <w:left w:val="none" w:sz="0" w:space="0" w:color="auto"/>
        <w:bottom w:val="none" w:sz="0" w:space="0" w:color="auto"/>
        <w:right w:val="none" w:sz="0" w:space="0" w:color="auto"/>
      </w:divBdr>
      <w:divsChild>
        <w:div w:id="1188715981">
          <w:marLeft w:val="0"/>
          <w:marRight w:val="0"/>
          <w:marTop w:val="0"/>
          <w:marBottom w:val="150"/>
          <w:divBdr>
            <w:top w:val="none" w:sz="0" w:space="0" w:color="auto"/>
            <w:left w:val="none" w:sz="0" w:space="0" w:color="auto"/>
            <w:bottom w:val="none" w:sz="0" w:space="0" w:color="auto"/>
            <w:right w:val="none" w:sz="0" w:space="0" w:color="auto"/>
          </w:divBdr>
        </w:div>
        <w:div w:id="168713980">
          <w:marLeft w:val="0"/>
          <w:marRight w:val="0"/>
          <w:marTop w:val="0"/>
          <w:marBottom w:val="300"/>
          <w:divBdr>
            <w:top w:val="none" w:sz="0" w:space="0" w:color="auto"/>
            <w:left w:val="none" w:sz="0" w:space="0" w:color="auto"/>
            <w:bottom w:val="none" w:sz="0" w:space="0" w:color="auto"/>
            <w:right w:val="none" w:sz="0" w:space="0" w:color="auto"/>
          </w:divBdr>
        </w:div>
      </w:divsChild>
    </w:div>
    <w:div w:id="663780780">
      <w:bodyDiv w:val="1"/>
      <w:marLeft w:val="0"/>
      <w:marRight w:val="0"/>
      <w:marTop w:val="0"/>
      <w:marBottom w:val="0"/>
      <w:divBdr>
        <w:top w:val="none" w:sz="0" w:space="0" w:color="auto"/>
        <w:left w:val="none" w:sz="0" w:space="0" w:color="auto"/>
        <w:bottom w:val="none" w:sz="0" w:space="0" w:color="auto"/>
        <w:right w:val="none" w:sz="0" w:space="0" w:color="auto"/>
      </w:divBdr>
      <w:divsChild>
        <w:div w:id="152379636">
          <w:marLeft w:val="0"/>
          <w:marRight w:val="0"/>
          <w:marTop w:val="0"/>
          <w:marBottom w:val="150"/>
          <w:divBdr>
            <w:top w:val="none" w:sz="0" w:space="0" w:color="auto"/>
            <w:left w:val="none" w:sz="0" w:space="0" w:color="auto"/>
            <w:bottom w:val="none" w:sz="0" w:space="0" w:color="auto"/>
            <w:right w:val="none" w:sz="0" w:space="0" w:color="auto"/>
          </w:divBdr>
        </w:div>
        <w:div w:id="952789717">
          <w:marLeft w:val="0"/>
          <w:marRight w:val="0"/>
          <w:marTop w:val="0"/>
          <w:marBottom w:val="300"/>
          <w:divBdr>
            <w:top w:val="none" w:sz="0" w:space="0" w:color="auto"/>
            <w:left w:val="none" w:sz="0" w:space="0" w:color="auto"/>
            <w:bottom w:val="none" w:sz="0" w:space="0" w:color="auto"/>
            <w:right w:val="none" w:sz="0" w:space="0" w:color="auto"/>
          </w:divBdr>
        </w:div>
      </w:divsChild>
    </w:div>
    <w:div w:id="821779563">
      <w:bodyDiv w:val="1"/>
      <w:marLeft w:val="0"/>
      <w:marRight w:val="0"/>
      <w:marTop w:val="0"/>
      <w:marBottom w:val="0"/>
      <w:divBdr>
        <w:top w:val="none" w:sz="0" w:space="0" w:color="auto"/>
        <w:left w:val="none" w:sz="0" w:space="0" w:color="auto"/>
        <w:bottom w:val="none" w:sz="0" w:space="0" w:color="auto"/>
        <w:right w:val="none" w:sz="0" w:space="0" w:color="auto"/>
      </w:divBdr>
      <w:divsChild>
        <w:div w:id="57243487">
          <w:marLeft w:val="0"/>
          <w:marRight w:val="0"/>
          <w:marTop w:val="0"/>
          <w:marBottom w:val="150"/>
          <w:divBdr>
            <w:top w:val="none" w:sz="0" w:space="0" w:color="auto"/>
            <w:left w:val="none" w:sz="0" w:space="0" w:color="auto"/>
            <w:bottom w:val="none" w:sz="0" w:space="0" w:color="auto"/>
            <w:right w:val="none" w:sz="0" w:space="0" w:color="auto"/>
          </w:divBdr>
        </w:div>
        <w:div w:id="570888718">
          <w:marLeft w:val="0"/>
          <w:marRight w:val="0"/>
          <w:marTop w:val="0"/>
          <w:marBottom w:val="300"/>
          <w:divBdr>
            <w:top w:val="none" w:sz="0" w:space="0" w:color="auto"/>
            <w:left w:val="none" w:sz="0" w:space="0" w:color="auto"/>
            <w:bottom w:val="none" w:sz="0" w:space="0" w:color="auto"/>
            <w:right w:val="none" w:sz="0" w:space="0" w:color="auto"/>
          </w:divBdr>
        </w:div>
      </w:divsChild>
    </w:div>
    <w:div w:id="2052992013">
      <w:bodyDiv w:val="1"/>
      <w:marLeft w:val="0"/>
      <w:marRight w:val="0"/>
      <w:marTop w:val="0"/>
      <w:marBottom w:val="0"/>
      <w:divBdr>
        <w:top w:val="none" w:sz="0" w:space="0" w:color="auto"/>
        <w:left w:val="none" w:sz="0" w:space="0" w:color="auto"/>
        <w:bottom w:val="none" w:sz="0" w:space="0" w:color="auto"/>
        <w:right w:val="none" w:sz="0" w:space="0" w:color="auto"/>
      </w:divBdr>
      <w:divsChild>
        <w:div w:id="42678613">
          <w:marLeft w:val="0"/>
          <w:marRight w:val="0"/>
          <w:marTop w:val="0"/>
          <w:marBottom w:val="150"/>
          <w:divBdr>
            <w:top w:val="none" w:sz="0" w:space="0" w:color="auto"/>
            <w:left w:val="none" w:sz="0" w:space="0" w:color="auto"/>
            <w:bottom w:val="none" w:sz="0" w:space="0" w:color="auto"/>
            <w:right w:val="none" w:sz="0" w:space="0" w:color="auto"/>
          </w:divBdr>
        </w:div>
        <w:div w:id="204593509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cici@africaonline.co.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2022-09-04T03:29:00Z</dcterms:created>
  <dcterms:modified xsi:type="dcterms:W3CDTF">2022-09-04T03:29:00Z</dcterms:modified>
</cp:coreProperties>
</file>