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2978" w:rsidRPr="005D2978" w:rsidRDefault="005D2978" w:rsidP="005D2978">
      <w:pPr>
        <w:spacing w:after="150" w:line="240" w:lineRule="auto"/>
        <w:rPr>
          <w:rFonts w:ascii="Arial" w:eastAsia="Times New Roman" w:hAnsi="Arial" w:cs="Arial"/>
          <w:b/>
          <w:bCs/>
          <w:color w:val="494949"/>
          <w:sz w:val="18"/>
          <w:szCs w:val="18"/>
        </w:rPr>
      </w:pPr>
      <w:r w:rsidRPr="005D2978">
        <w:rPr>
          <w:rFonts w:ascii="Arial" w:eastAsia="Times New Roman" w:hAnsi="Arial" w:cs="Arial"/>
          <w:b/>
          <w:bCs/>
          <w:color w:val="494949"/>
          <w:sz w:val="18"/>
          <w:szCs w:val="18"/>
        </w:rPr>
        <w:t>Theo Báo cáo mới nhất của Hãng tư vấn xây dựng toàn cầu EC Harris có trụ sở chính tại London, thị trường xây dựng của U.A.E. được dự kiến sẽ hoạt động gần hết công suất trong năm 2014 với các siêu dự án về xây dựng các đường ống và các khoản chi rất lớn cho các dự án cơ sở hạ tầng của nước này. Đó là nhờ tác động tích cực của việc hồi phục nền kinh tế và các triển vọng tăng trưởng khả quan.</w:t>
      </w:r>
    </w:p>
    <w:p w:rsidR="005D2978" w:rsidRPr="005D2978" w:rsidRDefault="005D2978" w:rsidP="005D2978">
      <w:pPr>
        <w:spacing w:after="0" w:line="240" w:lineRule="auto"/>
        <w:rPr>
          <w:rFonts w:ascii="Arial" w:eastAsia="Times New Roman" w:hAnsi="Arial" w:cs="Arial"/>
          <w:color w:val="494949"/>
          <w:sz w:val="18"/>
          <w:szCs w:val="18"/>
        </w:rPr>
      </w:pPr>
      <w:r w:rsidRPr="005D2978">
        <w:rPr>
          <w:rFonts w:ascii="Arial" w:eastAsia="Times New Roman" w:hAnsi="Arial" w:cs="Arial"/>
          <w:color w:val="494949"/>
          <w:sz w:val="18"/>
          <w:szCs w:val="18"/>
        </w:rPr>
        <w:t>Bản Báo cáo đánh giá dựa trên mức tăng GDP dự kiến, mức tăng của sản xuất công nghiệp, các điều kiện thị trường và mức giá trong các cuộc thầu xây dựng. Quỹ tiền tệ quốc tế (IMF) dự báo kinh tế U.A.E sẽ tăng 4,5% trong năm 2014, cùng với mức của năm 2013, chủ yếu từ kết quả các hoạt động của các lĩnh vực phi dầu.</w:t>
      </w:r>
    </w:p>
    <w:p w:rsidR="005D2978" w:rsidRPr="005D2978" w:rsidRDefault="005D2978" w:rsidP="005D2978">
      <w:pPr>
        <w:spacing w:after="0" w:line="240" w:lineRule="auto"/>
        <w:rPr>
          <w:rFonts w:ascii="Arial" w:eastAsia="Times New Roman" w:hAnsi="Arial" w:cs="Arial"/>
          <w:color w:val="494949"/>
          <w:sz w:val="18"/>
          <w:szCs w:val="18"/>
        </w:rPr>
      </w:pPr>
      <w:r w:rsidRPr="005D2978">
        <w:rPr>
          <w:rFonts w:ascii="Arial" w:eastAsia="Times New Roman" w:hAnsi="Arial" w:cs="Arial"/>
          <w:color w:val="494949"/>
          <w:sz w:val="18"/>
          <w:szCs w:val="18"/>
        </w:rPr>
        <w:t>Giá thầu của U.A.E. tiếp tục hạ trong năm 2013 và đến cuối năm giảm 4%. Tuy nhiên, giá thầu đã có thay đổi nhanh chóng theo hướng tăng lên khi có công bố vào cuối năm 2013 rằng nước này được lựa chọn đăng cai Expo 2020. Giá thầu có thể tăng từ 4 – 5% trong năm 2014 và 6% vào năm 2015. Đồng thời, số các dự án tăng lên nhờ được cấp vốn mới và vốn bổ sung và có nhiều dự án phát triển quy mô lớn cả trong lĩnh vực bất động sản và và cơ sở hạ tầng. Khác với năm 2013, U.A.E. hiện đã thừa nhận rằng các nguồn vốn bổ sung, thay thế là cần thiết để duy trì tăng trưởng bền vững do các ngân hàng không cấp toàn bộ vốn cho việc trả nợ. Đây cũng là thách thức cho tương lai của U.A.E. nhưng có thể giúp cho nước này duy trì được mức tăng vừa phải trong khu vực và linh hoạt trong đối phó với các rủi ro về tài chính.</w:t>
      </w:r>
    </w:p>
    <w:p w:rsidR="005D2978" w:rsidRPr="005D2978" w:rsidRDefault="005D2978" w:rsidP="005D2978">
      <w:pPr>
        <w:spacing w:after="0" w:line="240" w:lineRule="auto"/>
        <w:rPr>
          <w:rFonts w:ascii="Arial" w:eastAsia="Times New Roman" w:hAnsi="Arial" w:cs="Arial"/>
          <w:color w:val="494949"/>
          <w:sz w:val="18"/>
          <w:szCs w:val="18"/>
        </w:rPr>
      </w:pPr>
      <w:r w:rsidRPr="005D2978">
        <w:rPr>
          <w:rFonts w:ascii="Arial" w:eastAsia="Times New Roman" w:hAnsi="Arial" w:cs="Arial"/>
          <w:color w:val="494949"/>
          <w:sz w:val="18"/>
          <w:szCs w:val="18"/>
        </w:rPr>
        <w:t>Một trong các mục tiêu của Chính phủ U.A.E. là duy trì vị trí dẫn dầu của đất nước trong ngành xây dựng của Hội đồng hợp tác vùng Vịnh (GCC) so với các nước láng giềng xếp ngay sau là Qatar và Ả Rập Xê Út. Mức tăng trưởng, đô thị hóa nhanh và dân số trẻ của U.A.E. góp phần tăng nhu cầu về giải trí, hạ tầng cơ sở, bất động sản và các ngành tiện ích. Tuy nhiên, trong thị trường của khối GCC, như Qatar và Ả rập Xê Út, cũng đang tiến hành các chương trình đầu tư và đa dạng hóa tương tự, thì vị trí của U.A.E. ngày càng bị sức ép và cạnh tranh từ các nước láng giềng trong khối.</w:t>
      </w:r>
    </w:p>
    <w:p w:rsidR="005D2978" w:rsidRPr="005D2978" w:rsidRDefault="005D2978" w:rsidP="005D2978">
      <w:pPr>
        <w:spacing w:after="0" w:line="240" w:lineRule="auto"/>
        <w:rPr>
          <w:rFonts w:ascii="Arial" w:eastAsia="Times New Roman" w:hAnsi="Arial" w:cs="Arial"/>
          <w:color w:val="494949"/>
          <w:sz w:val="18"/>
          <w:szCs w:val="18"/>
        </w:rPr>
      </w:pPr>
      <w:r w:rsidRPr="005D2978">
        <w:rPr>
          <w:rFonts w:ascii="Arial" w:eastAsia="Times New Roman" w:hAnsi="Arial" w:cs="Arial"/>
          <w:color w:val="494949"/>
          <w:sz w:val="18"/>
          <w:szCs w:val="18"/>
        </w:rPr>
        <w:t>Mặc dù Abu Dhabi và Dubai là hai động lực phát triển chính của đất nước, hai Tiểu vương này cũng có những điểm khác nhau. Trong khi thị trường bất động sản của Dubai mạnh hơn và nhìn chung ổn định hơn, thì thị trường Abu Dhabi lại ổn định hơn trong 6 tháng đầu năm 2014. Nhưng các dự án xây dựng hệ thống ống dẫn có thể tăng chi tiêu xây dựng trong 6 tháng cuối năm 2014 và đầu năm 2015.</w:t>
      </w:r>
    </w:p>
    <w:p w:rsidR="005D2978" w:rsidRPr="005D2978" w:rsidRDefault="005D2978" w:rsidP="005D2978">
      <w:pPr>
        <w:spacing w:after="0" w:line="240" w:lineRule="auto"/>
        <w:jc w:val="center"/>
        <w:rPr>
          <w:rFonts w:ascii="Arial" w:eastAsia="Times New Roman" w:hAnsi="Arial" w:cs="Arial"/>
          <w:color w:val="494949"/>
          <w:sz w:val="18"/>
          <w:szCs w:val="18"/>
        </w:rPr>
      </w:pPr>
      <w:r w:rsidRPr="005D2978">
        <w:rPr>
          <w:rFonts w:ascii="Arial" w:eastAsia="Times New Roman" w:hAnsi="Arial" w:cs="Arial"/>
          <w:b/>
          <w:bCs/>
          <w:i/>
          <w:iCs/>
          <w:color w:val="494949"/>
          <w:sz w:val="18"/>
          <w:szCs w:val="18"/>
        </w:rPr>
        <w:t>Các chỉ số ngành xây dựng</w:t>
      </w:r>
    </w:p>
    <w:p w:rsidR="005D2978" w:rsidRPr="005D2978" w:rsidRDefault="005D2978" w:rsidP="005D2978">
      <w:pPr>
        <w:spacing w:line="240" w:lineRule="auto"/>
        <w:rPr>
          <w:rFonts w:ascii="Arial" w:eastAsia="Times New Roman" w:hAnsi="Arial" w:cs="Arial"/>
          <w:color w:val="494949"/>
          <w:sz w:val="18"/>
          <w:szCs w:val="18"/>
        </w:rPr>
      </w:pPr>
      <w:r w:rsidRPr="005D2978">
        <w:rPr>
          <w:rFonts w:ascii="Arial" w:eastAsia="Times New Roman" w:hAnsi="Arial" w:cs="Arial"/>
          <w:color w:val="494949"/>
          <w:sz w:val="18"/>
          <w:szCs w:val="18"/>
        </w:rPr>
        <w:t> </w:t>
      </w:r>
    </w:p>
    <w:tbl>
      <w:tblPr>
        <w:tblW w:w="1081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38"/>
        <w:gridCol w:w="1595"/>
        <w:gridCol w:w="1594"/>
        <w:gridCol w:w="1594"/>
        <w:gridCol w:w="1594"/>
      </w:tblGrid>
      <w:tr w:rsidR="005D2978" w:rsidRPr="005D2978" w:rsidTr="005D2978">
        <w:trPr>
          <w:tblCellSpacing w:w="0" w:type="dxa"/>
        </w:trPr>
        <w:tc>
          <w:tcPr>
            <w:tcW w:w="4425" w:type="dxa"/>
            <w:tcBorders>
              <w:top w:val="outset" w:sz="6" w:space="0" w:color="auto"/>
              <w:left w:val="outset" w:sz="6" w:space="0" w:color="auto"/>
              <w:bottom w:val="outset" w:sz="6" w:space="0" w:color="auto"/>
              <w:right w:val="outset" w:sz="6" w:space="0" w:color="auto"/>
            </w:tcBorders>
            <w:hideMark/>
          </w:tcPr>
          <w:p w:rsidR="005D2978" w:rsidRPr="005D2978" w:rsidRDefault="005D2978" w:rsidP="005D2978">
            <w:pPr>
              <w:spacing w:after="0" w:line="240" w:lineRule="auto"/>
              <w:jc w:val="center"/>
              <w:rPr>
                <w:rFonts w:eastAsia="Times New Roman" w:cs="Times New Roman"/>
                <w:sz w:val="24"/>
                <w:szCs w:val="24"/>
              </w:rPr>
            </w:pPr>
            <w:r w:rsidRPr="005D2978">
              <w:rPr>
                <w:rFonts w:eastAsia="Times New Roman" w:cs="Times New Roman"/>
                <w:b/>
                <w:bCs/>
                <w:i/>
                <w:iCs/>
                <w:sz w:val="24"/>
                <w:szCs w:val="24"/>
              </w:rPr>
              <w:t>Các chỉ số</w:t>
            </w:r>
          </w:p>
        </w:tc>
        <w:tc>
          <w:tcPr>
            <w:tcW w:w="1590" w:type="dxa"/>
            <w:tcBorders>
              <w:top w:val="outset" w:sz="6" w:space="0" w:color="auto"/>
              <w:left w:val="outset" w:sz="6" w:space="0" w:color="auto"/>
              <w:bottom w:val="outset" w:sz="6" w:space="0" w:color="auto"/>
              <w:right w:val="outset" w:sz="6" w:space="0" w:color="auto"/>
            </w:tcBorders>
            <w:hideMark/>
          </w:tcPr>
          <w:p w:rsidR="005D2978" w:rsidRPr="005D2978" w:rsidRDefault="005D2978" w:rsidP="005D2978">
            <w:pPr>
              <w:spacing w:after="0" w:line="240" w:lineRule="auto"/>
              <w:jc w:val="center"/>
              <w:rPr>
                <w:rFonts w:eastAsia="Times New Roman" w:cs="Times New Roman"/>
                <w:sz w:val="24"/>
                <w:szCs w:val="24"/>
              </w:rPr>
            </w:pPr>
            <w:r w:rsidRPr="005D2978">
              <w:rPr>
                <w:rFonts w:eastAsia="Times New Roman" w:cs="Times New Roman"/>
                <w:b/>
                <w:bCs/>
                <w:i/>
                <w:iCs/>
                <w:sz w:val="24"/>
                <w:szCs w:val="24"/>
              </w:rPr>
              <w:t>2011</w:t>
            </w:r>
          </w:p>
        </w:tc>
        <w:tc>
          <w:tcPr>
            <w:tcW w:w="1590" w:type="dxa"/>
            <w:tcBorders>
              <w:top w:val="outset" w:sz="6" w:space="0" w:color="auto"/>
              <w:left w:val="outset" w:sz="6" w:space="0" w:color="auto"/>
              <w:bottom w:val="outset" w:sz="6" w:space="0" w:color="auto"/>
              <w:right w:val="outset" w:sz="6" w:space="0" w:color="auto"/>
            </w:tcBorders>
            <w:hideMark/>
          </w:tcPr>
          <w:p w:rsidR="005D2978" w:rsidRPr="005D2978" w:rsidRDefault="005D2978" w:rsidP="005D2978">
            <w:pPr>
              <w:spacing w:after="0" w:line="240" w:lineRule="auto"/>
              <w:jc w:val="center"/>
              <w:rPr>
                <w:rFonts w:eastAsia="Times New Roman" w:cs="Times New Roman"/>
                <w:sz w:val="24"/>
                <w:szCs w:val="24"/>
              </w:rPr>
            </w:pPr>
            <w:r w:rsidRPr="005D2978">
              <w:rPr>
                <w:rFonts w:eastAsia="Times New Roman" w:cs="Times New Roman"/>
                <w:b/>
                <w:bCs/>
                <w:i/>
                <w:iCs/>
                <w:sz w:val="24"/>
                <w:szCs w:val="24"/>
              </w:rPr>
              <w:t>2012</w:t>
            </w:r>
          </w:p>
        </w:tc>
        <w:tc>
          <w:tcPr>
            <w:tcW w:w="1590" w:type="dxa"/>
            <w:tcBorders>
              <w:top w:val="outset" w:sz="6" w:space="0" w:color="auto"/>
              <w:left w:val="outset" w:sz="6" w:space="0" w:color="auto"/>
              <w:bottom w:val="outset" w:sz="6" w:space="0" w:color="auto"/>
              <w:right w:val="outset" w:sz="6" w:space="0" w:color="auto"/>
            </w:tcBorders>
            <w:hideMark/>
          </w:tcPr>
          <w:p w:rsidR="005D2978" w:rsidRPr="005D2978" w:rsidRDefault="005D2978" w:rsidP="005D2978">
            <w:pPr>
              <w:spacing w:after="0" w:line="240" w:lineRule="auto"/>
              <w:jc w:val="center"/>
              <w:rPr>
                <w:rFonts w:eastAsia="Times New Roman" w:cs="Times New Roman"/>
                <w:sz w:val="24"/>
                <w:szCs w:val="24"/>
              </w:rPr>
            </w:pPr>
            <w:r w:rsidRPr="005D2978">
              <w:rPr>
                <w:rFonts w:eastAsia="Times New Roman" w:cs="Times New Roman"/>
                <w:b/>
                <w:bCs/>
                <w:i/>
                <w:iCs/>
                <w:sz w:val="24"/>
                <w:szCs w:val="24"/>
              </w:rPr>
              <w:t>2013</w:t>
            </w:r>
          </w:p>
        </w:tc>
        <w:tc>
          <w:tcPr>
            <w:tcW w:w="1590" w:type="dxa"/>
            <w:tcBorders>
              <w:top w:val="outset" w:sz="6" w:space="0" w:color="auto"/>
              <w:left w:val="outset" w:sz="6" w:space="0" w:color="auto"/>
              <w:bottom w:val="outset" w:sz="6" w:space="0" w:color="auto"/>
              <w:right w:val="outset" w:sz="6" w:space="0" w:color="auto"/>
            </w:tcBorders>
            <w:hideMark/>
          </w:tcPr>
          <w:p w:rsidR="005D2978" w:rsidRPr="005D2978" w:rsidRDefault="005D2978" w:rsidP="005D2978">
            <w:pPr>
              <w:spacing w:after="0" w:line="240" w:lineRule="auto"/>
              <w:jc w:val="center"/>
              <w:rPr>
                <w:rFonts w:eastAsia="Times New Roman" w:cs="Times New Roman"/>
                <w:sz w:val="24"/>
                <w:szCs w:val="24"/>
              </w:rPr>
            </w:pPr>
            <w:r w:rsidRPr="005D2978">
              <w:rPr>
                <w:rFonts w:eastAsia="Times New Roman" w:cs="Times New Roman"/>
                <w:b/>
                <w:bCs/>
                <w:i/>
                <w:iCs/>
                <w:sz w:val="24"/>
                <w:szCs w:val="24"/>
              </w:rPr>
              <w:t>2014</w:t>
            </w:r>
          </w:p>
        </w:tc>
      </w:tr>
      <w:tr w:rsidR="005D2978" w:rsidRPr="005D2978" w:rsidTr="005D2978">
        <w:trPr>
          <w:tblCellSpacing w:w="0" w:type="dxa"/>
        </w:trPr>
        <w:tc>
          <w:tcPr>
            <w:tcW w:w="4425" w:type="dxa"/>
            <w:tcBorders>
              <w:top w:val="outset" w:sz="6" w:space="0" w:color="auto"/>
              <w:left w:val="outset" w:sz="6" w:space="0" w:color="auto"/>
              <w:bottom w:val="outset" w:sz="6" w:space="0" w:color="auto"/>
              <w:right w:val="outset" w:sz="6" w:space="0" w:color="auto"/>
            </w:tcBorders>
            <w:hideMark/>
          </w:tcPr>
          <w:p w:rsidR="005D2978" w:rsidRPr="005D2978" w:rsidRDefault="005D2978" w:rsidP="005D2978">
            <w:pPr>
              <w:spacing w:after="0" w:line="240" w:lineRule="auto"/>
              <w:rPr>
                <w:rFonts w:eastAsia="Times New Roman" w:cs="Times New Roman"/>
                <w:sz w:val="24"/>
                <w:szCs w:val="24"/>
              </w:rPr>
            </w:pPr>
            <w:r w:rsidRPr="005D2978">
              <w:rPr>
                <w:rFonts w:eastAsia="Times New Roman" w:cs="Times New Roman"/>
                <w:sz w:val="24"/>
                <w:szCs w:val="24"/>
              </w:rPr>
              <w:t>Tiêu thụ xi măng (%)</w:t>
            </w:r>
          </w:p>
        </w:tc>
        <w:tc>
          <w:tcPr>
            <w:tcW w:w="1590" w:type="dxa"/>
            <w:tcBorders>
              <w:top w:val="outset" w:sz="6" w:space="0" w:color="auto"/>
              <w:left w:val="outset" w:sz="6" w:space="0" w:color="auto"/>
              <w:bottom w:val="outset" w:sz="6" w:space="0" w:color="auto"/>
              <w:right w:val="outset" w:sz="6" w:space="0" w:color="auto"/>
            </w:tcBorders>
            <w:hideMark/>
          </w:tcPr>
          <w:p w:rsidR="005D2978" w:rsidRPr="005D2978" w:rsidRDefault="005D2978" w:rsidP="005D2978">
            <w:pPr>
              <w:spacing w:after="0" w:line="240" w:lineRule="auto"/>
              <w:jc w:val="center"/>
              <w:rPr>
                <w:rFonts w:eastAsia="Times New Roman" w:cs="Times New Roman"/>
                <w:sz w:val="24"/>
                <w:szCs w:val="24"/>
              </w:rPr>
            </w:pPr>
            <w:r w:rsidRPr="005D2978">
              <w:rPr>
                <w:rFonts w:eastAsia="Times New Roman" w:cs="Times New Roman"/>
                <w:sz w:val="24"/>
                <w:szCs w:val="24"/>
              </w:rPr>
              <w:t>1.6</w:t>
            </w:r>
          </w:p>
        </w:tc>
        <w:tc>
          <w:tcPr>
            <w:tcW w:w="1590" w:type="dxa"/>
            <w:tcBorders>
              <w:top w:val="outset" w:sz="6" w:space="0" w:color="auto"/>
              <w:left w:val="outset" w:sz="6" w:space="0" w:color="auto"/>
              <w:bottom w:val="outset" w:sz="6" w:space="0" w:color="auto"/>
              <w:right w:val="outset" w:sz="6" w:space="0" w:color="auto"/>
            </w:tcBorders>
            <w:hideMark/>
          </w:tcPr>
          <w:p w:rsidR="005D2978" w:rsidRPr="005D2978" w:rsidRDefault="005D2978" w:rsidP="005D2978">
            <w:pPr>
              <w:spacing w:after="0" w:line="240" w:lineRule="auto"/>
              <w:jc w:val="center"/>
              <w:rPr>
                <w:rFonts w:eastAsia="Times New Roman" w:cs="Times New Roman"/>
                <w:sz w:val="24"/>
                <w:szCs w:val="24"/>
              </w:rPr>
            </w:pPr>
            <w:r w:rsidRPr="005D2978">
              <w:rPr>
                <w:rFonts w:eastAsia="Times New Roman" w:cs="Times New Roman"/>
                <w:sz w:val="24"/>
                <w:szCs w:val="24"/>
              </w:rPr>
              <w:t>4,1</w:t>
            </w:r>
          </w:p>
        </w:tc>
        <w:tc>
          <w:tcPr>
            <w:tcW w:w="1590" w:type="dxa"/>
            <w:tcBorders>
              <w:top w:val="outset" w:sz="6" w:space="0" w:color="auto"/>
              <w:left w:val="outset" w:sz="6" w:space="0" w:color="auto"/>
              <w:bottom w:val="outset" w:sz="6" w:space="0" w:color="auto"/>
              <w:right w:val="outset" w:sz="6" w:space="0" w:color="auto"/>
            </w:tcBorders>
            <w:hideMark/>
          </w:tcPr>
          <w:p w:rsidR="005D2978" w:rsidRPr="005D2978" w:rsidRDefault="005D2978" w:rsidP="005D2978">
            <w:pPr>
              <w:spacing w:after="0" w:line="240" w:lineRule="auto"/>
              <w:jc w:val="center"/>
              <w:rPr>
                <w:rFonts w:eastAsia="Times New Roman" w:cs="Times New Roman"/>
                <w:sz w:val="24"/>
                <w:szCs w:val="24"/>
              </w:rPr>
            </w:pPr>
            <w:r w:rsidRPr="005D2978">
              <w:rPr>
                <w:rFonts w:eastAsia="Times New Roman" w:cs="Times New Roman"/>
                <w:sz w:val="24"/>
                <w:szCs w:val="24"/>
              </w:rPr>
              <w:t>1,4</w:t>
            </w:r>
          </w:p>
        </w:tc>
        <w:tc>
          <w:tcPr>
            <w:tcW w:w="1590" w:type="dxa"/>
            <w:tcBorders>
              <w:top w:val="outset" w:sz="6" w:space="0" w:color="auto"/>
              <w:left w:val="outset" w:sz="6" w:space="0" w:color="auto"/>
              <w:bottom w:val="outset" w:sz="6" w:space="0" w:color="auto"/>
              <w:right w:val="outset" w:sz="6" w:space="0" w:color="auto"/>
            </w:tcBorders>
            <w:hideMark/>
          </w:tcPr>
          <w:p w:rsidR="005D2978" w:rsidRPr="005D2978" w:rsidRDefault="005D2978" w:rsidP="005D2978">
            <w:pPr>
              <w:spacing w:after="0" w:line="240" w:lineRule="auto"/>
              <w:jc w:val="center"/>
              <w:rPr>
                <w:rFonts w:eastAsia="Times New Roman" w:cs="Times New Roman"/>
                <w:sz w:val="24"/>
                <w:szCs w:val="24"/>
              </w:rPr>
            </w:pPr>
            <w:r w:rsidRPr="005D2978">
              <w:rPr>
                <w:rFonts w:eastAsia="Times New Roman" w:cs="Times New Roman"/>
                <w:sz w:val="24"/>
                <w:szCs w:val="24"/>
              </w:rPr>
              <w:t>3,9</w:t>
            </w:r>
          </w:p>
        </w:tc>
      </w:tr>
      <w:tr w:rsidR="005D2978" w:rsidRPr="005D2978" w:rsidTr="005D2978">
        <w:trPr>
          <w:tblCellSpacing w:w="0" w:type="dxa"/>
        </w:trPr>
        <w:tc>
          <w:tcPr>
            <w:tcW w:w="4425" w:type="dxa"/>
            <w:tcBorders>
              <w:top w:val="outset" w:sz="6" w:space="0" w:color="auto"/>
              <w:left w:val="outset" w:sz="6" w:space="0" w:color="auto"/>
              <w:bottom w:val="outset" w:sz="6" w:space="0" w:color="auto"/>
              <w:right w:val="outset" w:sz="6" w:space="0" w:color="auto"/>
            </w:tcBorders>
            <w:hideMark/>
          </w:tcPr>
          <w:p w:rsidR="005D2978" w:rsidRPr="005D2978" w:rsidRDefault="005D2978" w:rsidP="005D2978">
            <w:pPr>
              <w:spacing w:after="0" w:line="240" w:lineRule="auto"/>
              <w:rPr>
                <w:rFonts w:eastAsia="Times New Roman" w:cs="Times New Roman"/>
                <w:sz w:val="24"/>
                <w:szCs w:val="24"/>
              </w:rPr>
            </w:pPr>
            <w:r w:rsidRPr="005D2978">
              <w:rPr>
                <w:rFonts w:eastAsia="Times New Roman" w:cs="Times New Roman"/>
                <w:sz w:val="24"/>
                <w:szCs w:val="24"/>
              </w:rPr>
              <w:t>Giá thầu xây dựng (%)</w:t>
            </w:r>
          </w:p>
        </w:tc>
        <w:tc>
          <w:tcPr>
            <w:tcW w:w="1590" w:type="dxa"/>
            <w:tcBorders>
              <w:top w:val="outset" w:sz="6" w:space="0" w:color="auto"/>
              <w:left w:val="outset" w:sz="6" w:space="0" w:color="auto"/>
              <w:bottom w:val="outset" w:sz="6" w:space="0" w:color="auto"/>
              <w:right w:val="outset" w:sz="6" w:space="0" w:color="auto"/>
            </w:tcBorders>
            <w:hideMark/>
          </w:tcPr>
          <w:p w:rsidR="005D2978" w:rsidRPr="005D2978" w:rsidRDefault="005D2978" w:rsidP="005D2978">
            <w:pPr>
              <w:spacing w:after="0" w:line="240" w:lineRule="auto"/>
              <w:jc w:val="center"/>
              <w:rPr>
                <w:rFonts w:eastAsia="Times New Roman" w:cs="Times New Roman"/>
                <w:sz w:val="24"/>
                <w:szCs w:val="24"/>
              </w:rPr>
            </w:pPr>
            <w:r w:rsidRPr="005D2978">
              <w:rPr>
                <w:rFonts w:eastAsia="Times New Roman" w:cs="Times New Roman"/>
                <w:sz w:val="24"/>
                <w:szCs w:val="24"/>
              </w:rPr>
              <w:t>-7,5</w:t>
            </w:r>
          </w:p>
        </w:tc>
        <w:tc>
          <w:tcPr>
            <w:tcW w:w="1590" w:type="dxa"/>
            <w:tcBorders>
              <w:top w:val="outset" w:sz="6" w:space="0" w:color="auto"/>
              <w:left w:val="outset" w:sz="6" w:space="0" w:color="auto"/>
              <w:bottom w:val="outset" w:sz="6" w:space="0" w:color="auto"/>
              <w:right w:val="outset" w:sz="6" w:space="0" w:color="auto"/>
            </w:tcBorders>
            <w:hideMark/>
          </w:tcPr>
          <w:p w:rsidR="005D2978" w:rsidRPr="005D2978" w:rsidRDefault="005D2978" w:rsidP="005D2978">
            <w:pPr>
              <w:spacing w:after="0" w:line="240" w:lineRule="auto"/>
              <w:jc w:val="center"/>
              <w:rPr>
                <w:rFonts w:eastAsia="Times New Roman" w:cs="Times New Roman"/>
                <w:sz w:val="24"/>
                <w:szCs w:val="24"/>
              </w:rPr>
            </w:pPr>
            <w:r w:rsidRPr="005D2978">
              <w:rPr>
                <w:rFonts w:eastAsia="Times New Roman" w:cs="Times New Roman"/>
                <w:sz w:val="24"/>
                <w:szCs w:val="24"/>
              </w:rPr>
              <w:t>2,9</w:t>
            </w:r>
          </w:p>
        </w:tc>
        <w:tc>
          <w:tcPr>
            <w:tcW w:w="1590" w:type="dxa"/>
            <w:tcBorders>
              <w:top w:val="outset" w:sz="6" w:space="0" w:color="auto"/>
              <w:left w:val="outset" w:sz="6" w:space="0" w:color="auto"/>
              <w:bottom w:val="outset" w:sz="6" w:space="0" w:color="auto"/>
              <w:right w:val="outset" w:sz="6" w:space="0" w:color="auto"/>
            </w:tcBorders>
            <w:hideMark/>
          </w:tcPr>
          <w:p w:rsidR="005D2978" w:rsidRPr="005D2978" w:rsidRDefault="005D2978" w:rsidP="005D2978">
            <w:pPr>
              <w:spacing w:after="0" w:line="240" w:lineRule="auto"/>
              <w:jc w:val="center"/>
              <w:rPr>
                <w:rFonts w:eastAsia="Times New Roman" w:cs="Times New Roman"/>
                <w:sz w:val="24"/>
                <w:szCs w:val="24"/>
              </w:rPr>
            </w:pPr>
            <w:r w:rsidRPr="005D2978">
              <w:rPr>
                <w:rFonts w:eastAsia="Times New Roman" w:cs="Times New Roman"/>
                <w:sz w:val="24"/>
                <w:szCs w:val="24"/>
              </w:rPr>
              <w:t>3,2</w:t>
            </w:r>
          </w:p>
        </w:tc>
        <w:tc>
          <w:tcPr>
            <w:tcW w:w="1590" w:type="dxa"/>
            <w:tcBorders>
              <w:top w:val="outset" w:sz="6" w:space="0" w:color="auto"/>
              <w:left w:val="outset" w:sz="6" w:space="0" w:color="auto"/>
              <w:bottom w:val="outset" w:sz="6" w:space="0" w:color="auto"/>
              <w:right w:val="outset" w:sz="6" w:space="0" w:color="auto"/>
            </w:tcBorders>
            <w:hideMark/>
          </w:tcPr>
          <w:p w:rsidR="005D2978" w:rsidRPr="005D2978" w:rsidRDefault="005D2978" w:rsidP="005D2978">
            <w:pPr>
              <w:spacing w:after="0" w:line="240" w:lineRule="auto"/>
              <w:jc w:val="center"/>
              <w:rPr>
                <w:rFonts w:eastAsia="Times New Roman" w:cs="Times New Roman"/>
                <w:sz w:val="24"/>
                <w:szCs w:val="24"/>
              </w:rPr>
            </w:pPr>
            <w:r w:rsidRPr="005D2978">
              <w:rPr>
                <w:rFonts w:eastAsia="Times New Roman" w:cs="Times New Roman"/>
                <w:sz w:val="24"/>
                <w:szCs w:val="24"/>
              </w:rPr>
              <w:t>3,7</w:t>
            </w:r>
          </w:p>
        </w:tc>
      </w:tr>
      <w:tr w:rsidR="005D2978" w:rsidRPr="005D2978" w:rsidTr="005D2978">
        <w:trPr>
          <w:tblCellSpacing w:w="0" w:type="dxa"/>
        </w:trPr>
        <w:tc>
          <w:tcPr>
            <w:tcW w:w="4425" w:type="dxa"/>
            <w:tcBorders>
              <w:top w:val="outset" w:sz="6" w:space="0" w:color="auto"/>
              <w:left w:val="outset" w:sz="6" w:space="0" w:color="auto"/>
              <w:bottom w:val="outset" w:sz="6" w:space="0" w:color="auto"/>
              <w:right w:val="outset" w:sz="6" w:space="0" w:color="auto"/>
            </w:tcBorders>
            <w:hideMark/>
          </w:tcPr>
          <w:p w:rsidR="005D2978" w:rsidRPr="005D2978" w:rsidRDefault="005D2978" w:rsidP="005D2978">
            <w:pPr>
              <w:spacing w:after="0" w:line="240" w:lineRule="auto"/>
              <w:rPr>
                <w:rFonts w:eastAsia="Times New Roman" w:cs="Times New Roman"/>
                <w:sz w:val="24"/>
                <w:szCs w:val="24"/>
              </w:rPr>
            </w:pPr>
            <w:r w:rsidRPr="005D2978">
              <w:rPr>
                <w:rFonts w:eastAsia="Times New Roman" w:cs="Times New Roman"/>
                <w:sz w:val="24"/>
                <w:szCs w:val="24"/>
              </w:rPr>
              <w:t>Chi phí vật liệu (%)</w:t>
            </w:r>
          </w:p>
        </w:tc>
        <w:tc>
          <w:tcPr>
            <w:tcW w:w="1590" w:type="dxa"/>
            <w:tcBorders>
              <w:top w:val="outset" w:sz="6" w:space="0" w:color="auto"/>
              <w:left w:val="outset" w:sz="6" w:space="0" w:color="auto"/>
              <w:bottom w:val="outset" w:sz="6" w:space="0" w:color="auto"/>
              <w:right w:val="outset" w:sz="6" w:space="0" w:color="auto"/>
            </w:tcBorders>
            <w:hideMark/>
          </w:tcPr>
          <w:p w:rsidR="005D2978" w:rsidRPr="005D2978" w:rsidRDefault="005D2978" w:rsidP="005D2978">
            <w:pPr>
              <w:spacing w:after="0" w:line="240" w:lineRule="auto"/>
              <w:jc w:val="center"/>
              <w:rPr>
                <w:rFonts w:eastAsia="Times New Roman" w:cs="Times New Roman"/>
                <w:sz w:val="24"/>
                <w:szCs w:val="24"/>
              </w:rPr>
            </w:pPr>
            <w:r w:rsidRPr="005D2978">
              <w:rPr>
                <w:rFonts w:eastAsia="Times New Roman" w:cs="Times New Roman"/>
                <w:sz w:val="24"/>
                <w:szCs w:val="24"/>
              </w:rPr>
              <w:t>5,0</w:t>
            </w:r>
          </w:p>
        </w:tc>
        <w:tc>
          <w:tcPr>
            <w:tcW w:w="1590" w:type="dxa"/>
            <w:tcBorders>
              <w:top w:val="outset" w:sz="6" w:space="0" w:color="auto"/>
              <w:left w:val="outset" w:sz="6" w:space="0" w:color="auto"/>
              <w:bottom w:val="outset" w:sz="6" w:space="0" w:color="auto"/>
              <w:right w:val="outset" w:sz="6" w:space="0" w:color="auto"/>
            </w:tcBorders>
            <w:hideMark/>
          </w:tcPr>
          <w:p w:rsidR="005D2978" w:rsidRPr="005D2978" w:rsidRDefault="005D2978" w:rsidP="005D2978">
            <w:pPr>
              <w:spacing w:after="0" w:line="240" w:lineRule="auto"/>
              <w:jc w:val="center"/>
              <w:rPr>
                <w:rFonts w:eastAsia="Times New Roman" w:cs="Times New Roman"/>
                <w:sz w:val="24"/>
                <w:szCs w:val="24"/>
              </w:rPr>
            </w:pPr>
            <w:r w:rsidRPr="005D2978">
              <w:rPr>
                <w:rFonts w:eastAsia="Times New Roman" w:cs="Times New Roman"/>
                <w:sz w:val="24"/>
                <w:szCs w:val="24"/>
              </w:rPr>
              <w:t>1,0</w:t>
            </w:r>
          </w:p>
        </w:tc>
        <w:tc>
          <w:tcPr>
            <w:tcW w:w="1590" w:type="dxa"/>
            <w:tcBorders>
              <w:top w:val="outset" w:sz="6" w:space="0" w:color="auto"/>
              <w:left w:val="outset" w:sz="6" w:space="0" w:color="auto"/>
              <w:bottom w:val="outset" w:sz="6" w:space="0" w:color="auto"/>
              <w:right w:val="outset" w:sz="6" w:space="0" w:color="auto"/>
            </w:tcBorders>
            <w:hideMark/>
          </w:tcPr>
          <w:p w:rsidR="005D2978" w:rsidRPr="005D2978" w:rsidRDefault="005D2978" w:rsidP="005D2978">
            <w:pPr>
              <w:spacing w:after="0" w:line="240" w:lineRule="auto"/>
              <w:jc w:val="center"/>
              <w:rPr>
                <w:rFonts w:eastAsia="Times New Roman" w:cs="Times New Roman"/>
                <w:sz w:val="24"/>
                <w:szCs w:val="24"/>
              </w:rPr>
            </w:pPr>
            <w:r w:rsidRPr="005D2978">
              <w:rPr>
                <w:rFonts w:eastAsia="Times New Roman" w:cs="Times New Roman"/>
                <w:sz w:val="24"/>
                <w:szCs w:val="24"/>
              </w:rPr>
              <w:t>-4,0</w:t>
            </w:r>
          </w:p>
        </w:tc>
        <w:tc>
          <w:tcPr>
            <w:tcW w:w="1590" w:type="dxa"/>
            <w:tcBorders>
              <w:top w:val="outset" w:sz="6" w:space="0" w:color="auto"/>
              <w:left w:val="outset" w:sz="6" w:space="0" w:color="auto"/>
              <w:bottom w:val="outset" w:sz="6" w:space="0" w:color="auto"/>
              <w:right w:val="outset" w:sz="6" w:space="0" w:color="auto"/>
            </w:tcBorders>
            <w:hideMark/>
          </w:tcPr>
          <w:p w:rsidR="005D2978" w:rsidRPr="005D2978" w:rsidRDefault="005D2978" w:rsidP="005D2978">
            <w:pPr>
              <w:spacing w:after="0" w:line="240" w:lineRule="auto"/>
              <w:jc w:val="center"/>
              <w:rPr>
                <w:rFonts w:eastAsia="Times New Roman" w:cs="Times New Roman"/>
                <w:sz w:val="24"/>
                <w:szCs w:val="24"/>
              </w:rPr>
            </w:pPr>
            <w:r w:rsidRPr="005D2978">
              <w:rPr>
                <w:rFonts w:eastAsia="Times New Roman" w:cs="Times New Roman"/>
                <w:sz w:val="24"/>
                <w:szCs w:val="24"/>
              </w:rPr>
              <w:t>-3,0</w:t>
            </w:r>
          </w:p>
        </w:tc>
      </w:tr>
      <w:tr w:rsidR="005D2978" w:rsidRPr="005D2978" w:rsidTr="005D2978">
        <w:trPr>
          <w:tblCellSpacing w:w="0" w:type="dxa"/>
        </w:trPr>
        <w:tc>
          <w:tcPr>
            <w:tcW w:w="4425" w:type="dxa"/>
            <w:tcBorders>
              <w:top w:val="outset" w:sz="6" w:space="0" w:color="auto"/>
              <w:left w:val="outset" w:sz="6" w:space="0" w:color="auto"/>
              <w:bottom w:val="outset" w:sz="6" w:space="0" w:color="auto"/>
              <w:right w:val="outset" w:sz="6" w:space="0" w:color="auto"/>
            </w:tcBorders>
            <w:hideMark/>
          </w:tcPr>
          <w:p w:rsidR="005D2978" w:rsidRPr="005D2978" w:rsidRDefault="005D2978" w:rsidP="005D2978">
            <w:pPr>
              <w:spacing w:after="0" w:line="240" w:lineRule="auto"/>
              <w:rPr>
                <w:rFonts w:eastAsia="Times New Roman" w:cs="Times New Roman"/>
                <w:sz w:val="24"/>
                <w:szCs w:val="24"/>
              </w:rPr>
            </w:pPr>
            <w:r w:rsidRPr="005D2978">
              <w:rPr>
                <w:rFonts w:eastAsia="Times New Roman" w:cs="Times New Roman"/>
                <w:sz w:val="24"/>
                <w:szCs w:val="24"/>
              </w:rPr>
              <w:t>Chi phí nhân công (%)</w:t>
            </w:r>
          </w:p>
        </w:tc>
        <w:tc>
          <w:tcPr>
            <w:tcW w:w="1590" w:type="dxa"/>
            <w:tcBorders>
              <w:top w:val="outset" w:sz="6" w:space="0" w:color="auto"/>
              <w:left w:val="outset" w:sz="6" w:space="0" w:color="auto"/>
              <w:bottom w:val="outset" w:sz="6" w:space="0" w:color="auto"/>
              <w:right w:val="outset" w:sz="6" w:space="0" w:color="auto"/>
            </w:tcBorders>
            <w:hideMark/>
          </w:tcPr>
          <w:p w:rsidR="005D2978" w:rsidRPr="005D2978" w:rsidRDefault="005D2978" w:rsidP="005D2978">
            <w:pPr>
              <w:spacing w:after="0" w:line="240" w:lineRule="auto"/>
              <w:jc w:val="center"/>
              <w:rPr>
                <w:rFonts w:eastAsia="Times New Roman" w:cs="Times New Roman"/>
                <w:sz w:val="24"/>
                <w:szCs w:val="24"/>
              </w:rPr>
            </w:pPr>
            <w:r w:rsidRPr="005D2978">
              <w:rPr>
                <w:rFonts w:eastAsia="Times New Roman" w:cs="Times New Roman"/>
                <w:sz w:val="24"/>
                <w:szCs w:val="24"/>
              </w:rPr>
              <w:t>10,0</w:t>
            </w:r>
          </w:p>
        </w:tc>
        <w:tc>
          <w:tcPr>
            <w:tcW w:w="1590" w:type="dxa"/>
            <w:tcBorders>
              <w:top w:val="outset" w:sz="6" w:space="0" w:color="auto"/>
              <w:left w:val="outset" w:sz="6" w:space="0" w:color="auto"/>
              <w:bottom w:val="outset" w:sz="6" w:space="0" w:color="auto"/>
              <w:right w:val="outset" w:sz="6" w:space="0" w:color="auto"/>
            </w:tcBorders>
            <w:hideMark/>
          </w:tcPr>
          <w:p w:rsidR="005D2978" w:rsidRPr="005D2978" w:rsidRDefault="005D2978" w:rsidP="005D2978">
            <w:pPr>
              <w:spacing w:after="0" w:line="240" w:lineRule="auto"/>
              <w:jc w:val="center"/>
              <w:rPr>
                <w:rFonts w:eastAsia="Times New Roman" w:cs="Times New Roman"/>
                <w:sz w:val="24"/>
                <w:szCs w:val="24"/>
              </w:rPr>
            </w:pPr>
            <w:r w:rsidRPr="005D2978">
              <w:rPr>
                <w:rFonts w:eastAsia="Times New Roman" w:cs="Times New Roman"/>
                <w:sz w:val="24"/>
                <w:szCs w:val="24"/>
              </w:rPr>
              <w:t>-5,0</w:t>
            </w:r>
          </w:p>
        </w:tc>
        <w:tc>
          <w:tcPr>
            <w:tcW w:w="1590" w:type="dxa"/>
            <w:tcBorders>
              <w:top w:val="outset" w:sz="6" w:space="0" w:color="auto"/>
              <w:left w:val="outset" w:sz="6" w:space="0" w:color="auto"/>
              <w:bottom w:val="outset" w:sz="6" w:space="0" w:color="auto"/>
              <w:right w:val="outset" w:sz="6" w:space="0" w:color="auto"/>
            </w:tcBorders>
            <w:hideMark/>
          </w:tcPr>
          <w:p w:rsidR="005D2978" w:rsidRPr="005D2978" w:rsidRDefault="005D2978" w:rsidP="005D2978">
            <w:pPr>
              <w:spacing w:after="0" w:line="240" w:lineRule="auto"/>
              <w:jc w:val="center"/>
              <w:rPr>
                <w:rFonts w:eastAsia="Times New Roman" w:cs="Times New Roman"/>
                <w:sz w:val="24"/>
                <w:szCs w:val="24"/>
              </w:rPr>
            </w:pPr>
            <w:r w:rsidRPr="005D2978">
              <w:rPr>
                <w:rFonts w:eastAsia="Times New Roman" w:cs="Times New Roman"/>
                <w:sz w:val="24"/>
                <w:szCs w:val="24"/>
              </w:rPr>
              <w:t>3,0</w:t>
            </w:r>
          </w:p>
        </w:tc>
        <w:tc>
          <w:tcPr>
            <w:tcW w:w="1590" w:type="dxa"/>
            <w:tcBorders>
              <w:top w:val="outset" w:sz="6" w:space="0" w:color="auto"/>
              <w:left w:val="outset" w:sz="6" w:space="0" w:color="auto"/>
              <w:bottom w:val="outset" w:sz="6" w:space="0" w:color="auto"/>
              <w:right w:val="outset" w:sz="6" w:space="0" w:color="auto"/>
            </w:tcBorders>
            <w:hideMark/>
          </w:tcPr>
          <w:p w:rsidR="005D2978" w:rsidRPr="005D2978" w:rsidRDefault="005D2978" w:rsidP="005D2978">
            <w:pPr>
              <w:spacing w:after="0" w:line="240" w:lineRule="auto"/>
              <w:jc w:val="center"/>
              <w:rPr>
                <w:rFonts w:eastAsia="Times New Roman" w:cs="Times New Roman"/>
                <w:sz w:val="24"/>
                <w:szCs w:val="24"/>
              </w:rPr>
            </w:pPr>
            <w:r w:rsidRPr="005D2978">
              <w:rPr>
                <w:rFonts w:eastAsia="Times New Roman" w:cs="Times New Roman"/>
                <w:sz w:val="24"/>
                <w:szCs w:val="24"/>
              </w:rPr>
              <w:t>6,0</w:t>
            </w:r>
          </w:p>
        </w:tc>
      </w:tr>
      <w:tr w:rsidR="005D2978" w:rsidRPr="005D2978" w:rsidTr="005D2978">
        <w:trPr>
          <w:tblCellSpacing w:w="0" w:type="dxa"/>
        </w:trPr>
        <w:tc>
          <w:tcPr>
            <w:tcW w:w="4425" w:type="dxa"/>
            <w:tcBorders>
              <w:top w:val="outset" w:sz="6" w:space="0" w:color="auto"/>
              <w:left w:val="outset" w:sz="6" w:space="0" w:color="auto"/>
              <w:bottom w:val="outset" w:sz="6" w:space="0" w:color="auto"/>
              <w:right w:val="outset" w:sz="6" w:space="0" w:color="auto"/>
            </w:tcBorders>
            <w:hideMark/>
          </w:tcPr>
          <w:p w:rsidR="005D2978" w:rsidRPr="005D2978" w:rsidRDefault="005D2978" w:rsidP="005D2978">
            <w:pPr>
              <w:spacing w:after="0" w:line="240" w:lineRule="auto"/>
              <w:rPr>
                <w:rFonts w:eastAsia="Times New Roman" w:cs="Times New Roman"/>
                <w:sz w:val="24"/>
                <w:szCs w:val="24"/>
              </w:rPr>
            </w:pPr>
            <w:r w:rsidRPr="005D2978">
              <w:rPr>
                <w:rFonts w:eastAsia="Times New Roman" w:cs="Times New Roman"/>
                <w:sz w:val="24"/>
                <w:szCs w:val="24"/>
              </w:rPr>
              <w:t>Trị giá các dự án đang XD</w:t>
            </w:r>
          </w:p>
          <w:p w:rsidR="005D2978" w:rsidRPr="005D2978" w:rsidRDefault="005D2978" w:rsidP="005D2978">
            <w:pPr>
              <w:spacing w:after="0" w:line="240" w:lineRule="auto"/>
              <w:rPr>
                <w:rFonts w:eastAsia="Times New Roman" w:cs="Times New Roman"/>
                <w:sz w:val="24"/>
                <w:szCs w:val="24"/>
              </w:rPr>
            </w:pPr>
            <w:r w:rsidRPr="005D2978">
              <w:rPr>
                <w:rFonts w:eastAsia="Times New Roman" w:cs="Times New Roman"/>
                <w:sz w:val="24"/>
                <w:szCs w:val="24"/>
              </w:rPr>
              <w:t>hoặc dự kiến (tỷ USD)</w:t>
            </w:r>
          </w:p>
        </w:tc>
        <w:tc>
          <w:tcPr>
            <w:tcW w:w="1590" w:type="dxa"/>
            <w:tcBorders>
              <w:top w:val="outset" w:sz="6" w:space="0" w:color="auto"/>
              <w:left w:val="outset" w:sz="6" w:space="0" w:color="auto"/>
              <w:bottom w:val="outset" w:sz="6" w:space="0" w:color="auto"/>
              <w:right w:val="outset" w:sz="6" w:space="0" w:color="auto"/>
            </w:tcBorders>
            <w:hideMark/>
          </w:tcPr>
          <w:p w:rsidR="005D2978" w:rsidRPr="005D2978" w:rsidRDefault="005D2978" w:rsidP="005D2978">
            <w:pPr>
              <w:spacing w:after="0" w:line="240" w:lineRule="auto"/>
              <w:jc w:val="center"/>
              <w:rPr>
                <w:rFonts w:eastAsia="Times New Roman" w:cs="Times New Roman"/>
                <w:sz w:val="24"/>
                <w:szCs w:val="24"/>
              </w:rPr>
            </w:pPr>
            <w:r w:rsidRPr="005D2978">
              <w:rPr>
                <w:rFonts w:eastAsia="Times New Roman" w:cs="Times New Roman"/>
                <w:sz w:val="24"/>
                <w:szCs w:val="24"/>
              </w:rPr>
              <w:t>660</w:t>
            </w:r>
          </w:p>
        </w:tc>
        <w:tc>
          <w:tcPr>
            <w:tcW w:w="1590" w:type="dxa"/>
            <w:tcBorders>
              <w:top w:val="outset" w:sz="6" w:space="0" w:color="auto"/>
              <w:left w:val="outset" w:sz="6" w:space="0" w:color="auto"/>
              <w:bottom w:val="outset" w:sz="6" w:space="0" w:color="auto"/>
              <w:right w:val="outset" w:sz="6" w:space="0" w:color="auto"/>
            </w:tcBorders>
            <w:hideMark/>
          </w:tcPr>
          <w:p w:rsidR="005D2978" w:rsidRPr="005D2978" w:rsidRDefault="005D2978" w:rsidP="005D2978">
            <w:pPr>
              <w:spacing w:after="0" w:line="240" w:lineRule="auto"/>
              <w:jc w:val="center"/>
              <w:rPr>
                <w:rFonts w:eastAsia="Times New Roman" w:cs="Times New Roman"/>
                <w:sz w:val="24"/>
                <w:szCs w:val="24"/>
              </w:rPr>
            </w:pPr>
            <w:r w:rsidRPr="005D2978">
              <w:rPr>
                <w:rFonts w:eastAsia="Times New Roman" w:cs="Times New Roman"/>
                <w:sz w:val="24"/>
                <w:szCs w:val="24"/>
              </w:rPr>
              <w:t>590</w:t>
            </w:r>
          </w:p>
        </w:tc>
        <w:tc>
          <w:tcPr>
            <w:tcW w:w="1590" w:type="dxa"/>
            <w:tcBorders>
              <w:top w:val="outset" w:sz="6" w:space="0" w:color="auto"/>
              <w:left w:val="outset" w:sz="6" w:space="0" w:color="auto"/>
              <w:bottom w:val="outset" w:sz="6" w:space="0" w:color="auto"/>
              <w:right w:val="outset" w:sz="6" w:space="0" w:color="auto"/>
            </w:tcBorders>
            <w:hideMark/>
          </w:tcPr>
          <w:p w:rsidR="005D2978" w:rsidRPr="005D2978" w:rsidRDefault="005D2978" w:rsidP="005D2978">
            <w:pPr>
              <w:spacing w:after="0" w:line="240" w:lineRule="auto"/>
              <w:jc w:val="center"/>
              <w:rPr>
                <w:rFonts w:eastAsia="Times New Roman" w:cs="Times New Roman"/>
                <w:sz w:val="24"/>
                <w:szCs w:val="24"/>
              </w:rPr>
            </w:pPr>
            <w:r w:rsidRPr="005D2978">
              <w:rPr>
                <w:rFonts w:eastAsia="Times New Roman" w:cs="Times New Roman"/>
                <w:sz w:val="24"/>
                <w:szCs w:val="24"/>
              </w:rPr>
              <w:t>650</w:t>
            </w:r>
          </w:p>
        </w:tc>
        <w:tc>
          <w:tcPr>
            <w:tcW w:w="1590" w:type="dxa"/>
            <w:tcBorders>
              <w:top w:val="outset" w:sz="6" w:space="0" w:color="auto"/>
              <w:left w:val="outset" w:sz="6" w:space="0" w:color="auto"/>
              <w:bottom w:val="outset" w:sz="6" w:space="0" w:color="auto"/>
              <w:right w:val="outset" w:sz="6" w:space="0" w:color="auto"/>
            </w:tcBorders>
            <w:hideMark/>
          </w:tcPr>
          <w:p w:rsidR="005D2978" w:rsidRPr="005D2978" w:rsidRDefault="005D2978" w:rsidP="005D2978">
            <w:pPr>
              <w:spacing w:after="0" w:line="240" w:lineRule="auto"/>
              <w:jc w:val="center"/>
              <w:rPr>
                <w:rFonts w:eastAsia="Times New Roman" w:cs="Times New Roman"/>
                <w:sz w:val="24"/>
                <w:szCs w:val="24"/>
              </w:rPr>
            </w:pPr>
            <w:r w:rsidRPr="005D2978">
              <w:rPr>
                <w:rFonts w:eastAsia="Times New Roman" w:cs="Times New Roman"/>
                <w:sz w:val="24"/>
                <w:szCs w:val="24"/>
              </w:rPr>
              <w:t>730</w:t>
            </w:r>
          </w:p>
        </w:tc>
      </w:tr>
    </w:tbl>
    <w:p w:rsidR="005D2978" w:rsidRPr="005D2978" w:rsidRDefault="005D2978" w:rsidP="005D2978">
      <w:pPr>
        <w:spacing w:after="0" w:line="240" w:lineRule="auto"/>
        <w:rPr>
          <w:rFonts w:ascii="Arial" w:eastAsia="Times New Roman" w:hAnsi="Arial" w:cs="Arial"/>
          <w:color w:val="494949"/>
          <w:sz w:val="18"/>
          <w:szCs w:val="18"/>
        </w:rPr>
      </w:pPr>
      <w:r w:rsidRPr="005D2978">
        <w:rPr>
          <w:rFonts w:ascii="Arial" w:eastAsia="Times New Roman" w:hAnsi="Arial" w:cs="Arial"/>
          <w:color w:val="494949"/>
          <w:sz w:val="18"/>
          <w:szCs w:val="18"/>
        </w:rPr>
        <w:t> </w:t>
      </w:r>
    </w:p>
    <w:p w:rsidR="005D2978" w:rsidRPr="005D2978" w:rsidRDefault="005D2978" w:rsidP="005D2978">
      <w:pPr>
        <w:spacing w:after="0" w:line="240" w:lineRule="auto"/>
        <w:rPr>
          <w:rFonts w:ascii="Arial" w:eastAsia="Times New Roman" w:hAnsi="Arial" w:cs="Arial"/>
          <w:color w:val="494949"/>
          <w:sz w:val="18"/>
          <w:szCs w:val="18"/>
        </w:rPr>
      </w:pPr>
      <w:r w:rsidRPr="005D2978">
        <w:rPr>
          <w:rFonts w:ascii="Arial" w:eastAsia="Times New Roman" w:hAnsi="Arial" w:cs="Arial"/>
          <w:color w:val="494949"/>
          <w:sz w:val="18"/>
          <w:szCs w:val="18"/>
        </w:rPr>
        <w:t>                        </w:t>
      </w:r>
      <w:r w:rsidRPr="005D2978">
        <w:rPr>
          <w:rFonts w:ascii="Arial" w:eastAsia="Times New Roman" w:hAnsi="Arial" w:cs="Arial"/>
          <w:i/>
          <w:iCs/>
          <w:color w:val="494949"/>
          <w:sz w:val="18"/>
          <w:szCs w:val="18"/>
        </w:rPr>
        <w:t>Nguồn</w:t>
      </w:r>
      <w:r w:rsidRPr="005D2978">
        <w:rPr>
          <w:rFonts w:ascii="Arial" w:eastAsia="Times New Roman" w:hAnsi="Arial" w:cs="Arial"/>
          <w:color w:val="494949"/>
          <w:sz w:val="18"/>
          <w:szCs w:val="18"/>
        </w:rPr>
        <w:t>: EC Haris</w:t>
      </w:r>
    </w:p>
    <w:p w:rsidR="005D2978" w:rsidRPr="005D2978" w:rsidRDefault="005D2978" w:rsidP="005D2978">
      <w:pPr>
        <w:spacing w:after="0" w:line="240" w:lineRule="auto"/>
        <w:rPr>
          <w:rFonts w:ascii="Arial" w:eastAsia="Times New Roman" w:hAnsi="Arial" w:cs="Arial"/>
          <w:color w:val="494949"/>
          <w:sz w:val="18"/>
          <w:szCs w:val="18"/>
        </w:rPr>
      </w:pPr>
      <w:r w:rsidRPr="005D2978">
        <w:rPr>
          <w:rFonts w:ascii="Arial" w:eastAsia="Times New Roman" w:hAnsi="Arial" w:cs="Arial"/>
          <w:color w:val="494949"/>
          <w:sz w:val="18"/>
          <w:szCs w:val="18"/>
        </w:rPr>
        <w:t>Năm 2013 là năm ngành du lịch và cơ sở hạ tầng tăng khá, nhất là xây dựng mở rộng các sân bay, các cảng và đường bộ. Như vậy năm 2014, ngành xây dựng đang hướng tới chuẩn bị cho Expo 2020 và việc này sẽ tiếp thêm động lực tăng trưởng cho ngành xây dựng hạ tầng và bất động sản. Trị giá các dự án đã công bố và trong dự kiến kế hoạch của năm 2014 tại U.A.E. là 315 tỷ USD. Đến tháng 5/2014, các dự án xây dựng trị giá 212 tỷ USD đang trong quá trình xây dựng. Năm 2014, ngành xây dựng U.A.E. được dự báo sẽ tăng trưởng mạnh. Và xu hướng này được tiếp tục trong các năm tới.</w:t>
      </w:r>
    </w:p>
    <w:p w:rsidR="005D2978" w:rsidRPr="005D2978" w:rsidRDefault="005D2978" w:rsidP="005D2978">
      <w:pPr>
        <w:spacing w:after="0" w:line="240" w:lineRule="auto"/>
        <w:rPr>
          <w:rFonts w:ascii="Arial" w:eastAsia="Times New Roman" w:hAnsi="Arial" w:cs="Arial"/>
          <w:color w:val="494949"/>
          <w:sz w:val="18"/>
          <w:szCs w:val="18"/>
        </w:rPr>
      </w:pPr>
      <w:r w:rsidRPr="005D2978">
        <w:rPr>
          <w:rFonts w:ascii="Arial" w:eastAsia="Times New Roman" w:hAnsi="Arial" w:cs="Arial"/>
          <w:color w:val="494949"/>
          <w:sz w:val="18"/>
          <w:szCs w:val="18"/>
        </w:rPr>
        <w:t>Xây dựng tăng nhanh sẽ kéo theo nhu cầu lớn về vật tư, nguyên liệu xây dựng và lực lượng lao động mà U.A.E. sẽ không thể tự đáp ứng được. Do đó, sẽ có lượng lớn công nhân và kỹ sư xây dựng đến từ các nước ngoài như Ấn Độ, Pakistan, Malaysia, Trung Quốc, Việt Nam./.</w:t>
      </w:r>
    </w:p>
    <w:p w:rsidR="005D2978" w:rsidRPr="005D2978" w:rsidRDefault="005D2978" w:rsidP="005D2978">
      <w:pPr>
        <w:spacing w:line="240" w:lineRule="auto"/>
        <w:jc w:val="right"/>
        <w:rPr>
          <w:rFonts w:ascii="Arial" w:eastAsia="Times New Roman" w:hAnsi="Arial" w:cs="Arial"/>
          <w:color w:val="494949"/>
          <w:sz w:val="18"/>
          <w:szCs w:val="18"/>
        </w:rPr>
      </w:pPr>
      <w:r w:rsidRPr="005D2978">
        <w:rPr>
          <w:rFonts w:ascii="Arial" w:eastAsia="Times New Roman" w:hAnsi="Arial" w:cs="Arial"/>
          <w:i/>
          <w:iCs/>
          <w:color w:val="494949"/>
          <w:sz w:val="18"/>
          <w:szCs w:val="18"/>
        </w:rPr>
        <w:t>Nguyễn Tuấn Quang</w:t>
      </w:r>
    </w:p>
    <w:p w:rsidR="00A63E73" w:rsidRPr="005D2978" w:rsidRDefault="00A63E73" w:rsidP="005D2978">
      <w:bookmarkStart w:id="0" w:name="_GoBack"/>
      <w:bookmarkEnd w:id="0"/>
    </w:p>
    <w:sectPr w:rsidR="00A63E73" w:rsidRPr="005D2978"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41F"/>
    <w:rsid w:val="003740F2"/>
    <w:rsid w:val="005D2978"/>
    <w:rsid w:val="007C241F"/>
    <w:rsid w:val="008C5F82"/>
    <w:rsid w:val="00A63E73"/>
    <w:rsid w:val="00C472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E70C2A-D60B-41F6-9016-B7547CDD6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C241F"/>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7C241F"/>
    <w:rPr>
      <w:i/>
      <w:iCs/>
    </w:rPr>
  </w:style>
  <w:style w:type="character" w:styleId="Strong">
    <w:name w:val="Strong"/>
    <w:basedOn w:val="DefaultParagraphFont"/>
    <w:uiPriority w:val="22"/>
    <w:qFormat/>
    <w:rsid w:val="008C5F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8081868">
      <w:bodyDiv w:val="1"/>
      <w:marLeft w:val="0"/>
      <w:marRight w:val="0"/>
      <w:marTop w:val="0"/>
      <w:marBottom w:val="0"/>
      <w:divBdr>
        <w:top w:val="none" w:sz="0" w:space="0" w:color="auto"/>
        <w:left w:val="none" w:sz="0" w:space="0" w:color="auto"/>
        <w:bottom w:val="none" w:sz="0" w:space="0" w:color="auto"/>
        <w:right w:val="none" w:sz="0" w:space="0" w:color="auto"/>
      </w:divBdr>
      <w:divsChild>
        <w:div w:id="31736245">
          <w:marLeft w:val="0"/>
          <w:marRight w:val="0"/>
          <w:marTop w:val="0"/>
          <w:marBottom w:val="150"/>
          <w:divBdr>
            <w:top w:val="none" w:sz="0" w:space="0" w:color="auto"/>
            <w:left w:val="none" w:sz="0" w:space="0" w:color="auto"/>
            <w:bottom w:val="none" w:sz="0" w:space="0" w:color="auto"/>
            <w:right w:val="none" w:sz="0" w:space="0" w:color="auto"/>
          </w:divBdr>
        </w:div>
        <w:div w:id="1478760687">
          <w:marLeft w:val="0"/>
          <w:marRight w:val="0"/>
          <w:marTop w:val="0"/>
          <w:marBottom w:val="300"/>
          <w:divBdr>
            <w:top w:val="none" w:sz="0" w:space="0" w:color="auto"/>
            <w:left w:val="none" w:sz="0" w:space="0" w:color="auto"/>
            <w:bottom w:val="none" w:sz="0" w:space="0" w:color="auto"/>
            <w:right w:val="none" w:sz="0" w:space="0" w:color="auto"/>
          </w:divBdr>
        </w:div>
      </w:divsChild>
    </w:div>
    <w:div w:id="683091189">
      <w:bodyDiv w:val="1"/>
      <w:marLeft w:val="0"/>
      <w:marRight w:val="0"/>
      <w:marTop w:val="0"/>
      <w:marBottom w:val="0"/>
      <w:divBdr>
        <w:top w:val="none" w:sz="0" w:space="0" w:color="auto"/>
        <w:left w:val="none" w:sz="0" w:space="0" w:color="auto"/>
        <w:bottom w:val="none" w:sz="0" w:space="0" w:color="auto"/>
        <w:right w:val="none" w:sz="0" w:space="0" w:color="auto"/>
      </w:divBdr>
    </w:div>
    <w:div w:id="756710121">
      <w:bodyDiv w:val="1"/>
      <w:marLeft w:val="0"/>
      <w:marRight w:val="0"/>
      <w:marTop w:val="0"/>
      <w:marBottom w:val="0"/>
      <w:divBdr>
        <w:top w:val="none" w:sz="0" w:space="0" w:color="auto"/>
        <w:left w:val="none" w:sz="0" w:space="0" w:color="auto"/>
        <w:bottom w:val="none" w:sz="0" w:space="0" w:color="auto"/>
        <w:right w:val="none" w:sz="0" w:space="0" w:color="auto"/>
      </w:divBdr>
      <w:divsChild>
        <w:div w:id="1220706216">
          <w:marLeft w:val="0"/>
          <w:marRight w:val="0"/>
          <w:marTop w:val="0"/>
          <w:marBottom w:val="150"/>
          <w:divBdr>
            <w:top w:val="none" w:sz="0" w:space="0" w:color="auto"/>
            <w:left w:val="none" w:sz="0" w:space="0" w:color="auto"/>
            <w:bottom w:val="none" w:sz="0" w:space="0" w:color="auto"/>
            <w:right w:val="none" w:sz="0" w:space="0" w:color="auto"/>
          </w:divBdr>
        </w:div>
        <w:div w:id="8022445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547</Words>
  <Characters>3122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2022-08-15T07:18:00Z</dcterms:created>
  <dcterms:modified xsi:type="dcterms:W3CDTF">2022-08-15T07:18:00Z</dcterms:modified>
</cp:coreProperties>
</file>