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A62E328" w14:textId="77777777" w:rsidR="00FD0B28" w:rsidRPr="00FD0B28" w:rsidRDefault="00FD0B28" w:rsidP="00FD0B28">
      <w:pPr>
        <w:jc w:val="center"/>
        <w:outlineLvl w:val="0"/>
        <w:rPr>
          <w:rFonts w:ascii="Times New Roman" w:eastAsia="Times New Roman" w:hAnsi="Times New Roman" w:cs="Times New Roman"/>
          <w:b/>
          <w:bCs/>
          <w:color w:val="000000" w:themeColor="text1"/>
          <w:kern w:val="36"/>
        </w:rPr>
      </w:pPr>
      <w:r w:rsidRPr="00FD0B28">
        <w:rPr>
          <w:rFonts w:ascii="Times New Roman" w:eastAsia="Times New Roman" w:hAnsi="Times New Roman" w:cs="Times New Roman"/>
          <w:b/>
          <w:bCs/>
          <w:color w:val="000000" w:themeColor="text1"/>
          <w:kern w:val="36"/>
        </w:rPr>
        <w:t>Thủ tục và các yêu cầu nhập khẩu của Thổ Nhĩ Kỳ</w:t>
      </w:r>
    </w:p>
    <w:p w14:paraId="7EB14926" w14:textId="77777777" w:rsidR="00FD0B28" w:rsidRPr="00FD0B28" w:rsidRDefault="00FD0B28" w:rsidP="00FD0B28">
      <w:pPr>
        <w:jc w:val="both"/>
        <w:rPr>
          <w:rFonts w:ascii="Times New Roman" w:eastAsia="Times New Roman" w:hAnsi="Times New Roman" w:cs="Times New Roman"/>
          <w:b/>
          <w:bCs/>
          <w:color w:val="000000" w:themeColor="text1"/>
        </w:rPr>
      </w:pPr>
      <w:r w:rsidRPr="00FD0B28">
        <w:rPr>
          <w:rFonts w:ascii="Times New Roman" w:eastAsia="Times New Roman" w:hAnsi="Times New Roman" w:cs="Times New Roman"/>
          <w:b/>
          <w:bCs/>
          <w:color w:val="000000" w:themeColor="text1"/>
        </w:rPr>
        <w:t>Luật Hải quan sửa đổi số 4458 (thay thế Luật Hải quan số 1615/1972 vào tháng 2/2000) cùng với các quy định (các quy định mới được công bố trên Công báo số 27.369 ngày 07/10/2009; Nghị định về tổ chức và nhiệm vụ của Bộ Thương mại và Hải quan số 640 đăng trên công báo số 27.958 ngày 08/06/2011 và một số văn bản pháp luật khác như Nghị định số 5911, các Nghị định của Chính phủ số 2009/15481) đã tạo thành khung pháp lý cơ bản cho các vấn đề hải quan. Trong những năm qua, Thổ Nhĩ Kỳ đã tiến hành các bước dần điều chỉnh luật hải quan phù hợp với EU.</w:t>
      </w:r>
    </w:p>
    <w:p w14:paraId="72502BEA" w14:textId="77777777" w:rsidR="00FD0B28" w:rsidRPr="00FD0B28" w:rsidRDefault="00FD0B28" w:rsidP="00FD0B28">
      <w:pPr>
        <w:jc w:val="both"/>
        <w:rPr>
          <w:rFonts w:ascii="Times New Roman" w:eastAsia="Times New Roman" w:hAnsi="Times New Roman" w:cs="Times New Roman"/>
          <w:color w:val="000000" w:themeColor="text1"/>
        </w:rPr>
      </w:pPr>
      <w:r w:rsidRPr="00FD0B28">
        <w:rPr>
          <w:rFonts w:ascii="Times New Roman" w:eastAsia="Times New Roman" w:hAnsi="Times New Roman" w:cs="Times New Roman"/>
          <w:color w:val="000000" w:themeColor="text1"/>
        </w:rPr>
        <w:t>          Thổ Nhĩ Kỳ đã đưa ra dự án GIMOP (Hiện đại hóa Hải quan), theo đó Bộ Thương mại và Hải quan đã triển khai thực hiện một số chương trình nhằm hoạt động hải quan hiệu quả hơn. Dự án GÜMSİS (Hệ thống an ninh tại các cửa khẩu Hải quan) được đưa ra năm 2001 để giám sát và phòng chống buôn bán trái phép hàng hoá, xe cộ và khách du lịch. Hơn nữa các thông số đã được tích hợp theo hệ thống GÜMSİS, bao gồm hệ thống kiểm tra container và xe cộ (X-ray), hệ thống phát hiện hạt nhân, hệ thống theo dõi xe cộ quá cảnh dựa trên GPS và hệ thống quét giấy phép. Năm 2002, Bilge (gói phần mềm máy tính) đã được giới thiệu để thực hiện tất cả các thủ tục hải quan theo thời gian thực tế. Bilge bao gồm các hệ thống con cho các tờ khai tóm tắt, quản lý kho bãi, thuế và kế toán. </w:t>
      </w:r>
    </w:p>
    <w:p w14:paraId="08B1AC9E" w14:textId="77777777" w:rsidR="00FD0B28" w:rsidRPr="00FD0B28" w:rsidRDefault="00FD0B28" w:rsidP="00FD0B28">
      <w:pPr>
        <w:jc w:val="both"/>
        <w:rPr>
          <w:rFonts w:ascii="Times New Roman" w:eastAsia="Times New Roman" w:hAnsi="Times New Roman" w:cs="Times New Roman"/>
          <w:color w:val="000000" w:themeColor="text1"/>
        </w:rPr>
      </w:pPr>
      <w:r w:rsidRPr="00FD0B28">
        <w:rPr>
          <w:rFonts w:ascii="Times New Roman" w:eastAsia="Times New Roman" w:hAnsi="Times New Roman" w:cs="Times New Roman"/>
          <w:color w:val="000000" w:themeColor="text1"/>
        </w:rPr>
        <w:t>          Định dạng tờ khai hải quan Thổ Nhĩ Kỳ được gắn với văn bản hành chính duy nhất (SAD) sử dụng cho thủ tục hải quan trong EU. Để được hưởng lợi mức thuế nhập khẩu ưu đãi đối với hàng hóa nông nghiệp, than đá và các sản phẩm thép từ các nước ngoài EU mà Thổ Nhĩ Kỳ có hiệp định tự do thương mại, và từ các nước thành viên EU, cần phải có các giấy chứng nhận dịch chuyển EUR.1 hoặc EUR.MED. Cơ quan Hải quan có thể cho phép đơn giản hóa thủ tục, bao gồm cả bãi miễn một số tài liệu yêu cầu. Việc sử dụng đại lý thanh toán và đại lý hải quan là không bắt buộc. </w:t>
      </w:r>
    </w:p>
    <w:p w14:paraId="2337DF93" w14:textId="77777777" w:rsidR="00FD0B28" w:rsidRPr="00FD0B28" w:rsidRDefault="00FD0B28" w:rsidP="00FD0B28">
      <w:pPr>
        <w:jc w:val="both"/>
        <w:rPr>
          <w:rFonts w:ascii="Times New Roman" w:eastAsia="Times New Roman" w:hAnsi="Times New Roman" w:cs="Times New Roman"/>
          <w:color w:val="000000" w:themeColor="text1"/>
        </w:rPr>
      </w:pPr>
      <w:r w:rsidRPr="00FD0B28">
        <w:rPr>
          <w:rFonts w:ascii="Times New Roman" w:eastAsia="Times New Roman" w:hAnsi="Times New Roman" w:cs="Times New Roman"/>
          <w:color w:val="000000" w:themeColor="text1"/>
        </w:rPr>
        <w:t>          Thông thường việc sử dụng Bilge phải được xuất trình tại cơ quan hải quan vào cuối ngày làm việc sau khi hàng đến. Các tờ khai hải quan gốc hoặc vận đơn phải được nộp cùng với bản khai tóm tắt cùng với các giấy tờ cần thiết khác mà không phụ thuộc vào phương thức vận tải. Thủ tục nhập khẩu thường được hoàn thành trong vòng 24 giờ.</w:t>
      </w:r>
    </w:p>
    <w:p w14:paraId="3188CA64" w14:textId="77777777" w:rsidR="00FD0B28" w:rsidRPr="00FD0B28" w:rsidRDefault="00FD0B28" w:rsidP="00FD0B28">
      <w:pPr>
        <w:jc w:val="both"/>
        <w:rPr>
          <w:rFonts w:ascii="Times New Roman" w:eastAsia="Times New Roman" w:hAnsi="Times New Roman" w:cs="Times New Roman"/>
          <w:color w:val="000000" w:themeColor="text1"/>
        </w:rPr>
      </w:pPr>
      <w:r w:rsidRPr="00FD0B28">
        <w:rPr>
          <w:rFonts w:ascii="Times New Roman" w:eastAsia="Times New Roman" w:hAnsi="Times New Roman" w:cs="Times New Roman"/>
          <w:color w:val="000000" w:themeColor="text1"/>
        </w:rPr>
        <w:t>          Các nhà nhập khẩu chịu trách nhiệm về thủ tục hải quan. Việc thông quan hàng hóa đến bằng đường bộ, đường sắt hoặc hàng không được thực hiện trong vòng 20 ngày, đối với hàng vận tải biển yêu cầu là 45 ngày. Thời hạn này có thể được gia hạn theo yêu cầu của nhà nhập khẩu. Nếu không thông quan trong thời hạn quy định hàng hóa có thể bị tịch thu và xử lý đấu giá. Người khai có thể bảo lưu quyền áp dụng các thủ tục lưu thông tự do hàng hóa cho đến khi công bố ngày bán đấu giá, mức phạt tiền là 1% giá trị CIF hàng hoá liên quan.</w:t>
      </w:r>
    </w:p>
    <w:p w14:paraId="67C93CD0" w14:textId="77777777" w:rsidR="00FD0B28" w:rsidRPr="00FD0B28" w:rsidRDefault="00FD0B28" w:rsidP="00FD0B28">
      <w:pPr>
        <w:jc w:val="both"/>
        <w:rPr>
          <w:rFonts w:ascii="Times New Roman" w:eastAsia="Times New Roman" w:hAnsi="Times New Roman" w:cs="Times New Roman"/>
          <w:color w:val="000000" w:themeColor="text1"/>
        </w:rPr>
      </w:pPr>
      <w:r w:rsidRPr="00FD0B28">
        <w:rPr>
          <w:rFonts w:ascii="Times New Roman" w:eastAsia="Times New Roman" w:hAnsi="Times New Roman" w:cs="Times New Roman"/>
          <w:color w:val="000000" w:themeColor="text1"/>
        </w:rPr>
        <w:t>          Một số mặt hàng chỉ có thể được nhập khẩu thông qua các bộ phận hải quan chuyên ngành. Theo đó, phương tiện vận tải, máy kéo, xe máy, phụ tùng thay thế và phụ kiện phải được thông quan tại các bộ phận hải quan ở Yesilkoy, Gebze, Izmit hay Mersin; các sản phẩm dệt may phải qua bộ phận hải quan Halkali, Atatürk Havaliman, Sabiha, Gemlik, Mersin, Izmir, Denizli, Ankara, Kayseri và Gaziantep; phân bón phải qua bộ phận hải quan tại Derince, Mersin, Samsun, Izmir, Aliaga, Dikili, Kapikule, Tekirdag, Bandirma, Gemlik, Iskenderun, Ambarli, Haydarpasa và Antalya; một số sản phẩm hóa dầu và chất dung môi phải qua bộ phận hóa dầu của hải quan Gebze.</w:t>
      </w:r>
    </w:p>
    <w:p w14:paraId="2E2ED347" w14:textId="77777777" w:rsidR="00FD0B28" w:rsidRPr="00FD0B28" w:rsidRDefault="00FD0B28" w:rsidP="00FD0B28">
      <w:pPr>
        <w:jc w:val="both"/>
        <w:rPr>
          <w:rFonts w:ascii="Times New Roman" w:eastAsia="Times New Roman" w:hAnsi="Times New Roman" w:cs="Times New Roman"/>
          <w:color w:val="000000" w:themeColor="text1"/>
        </w:rPr>
      </w:pPr>
      <w:r w:rsidRPr="00FD0B28">
        <w:rPr>
          <w:rFonts w:ascii="Times New Roman" w:eastAsia="Times New Roman" w:hAnsi="Times New Roman" w:cs="Times New Roman"/>
          <w:color w:val="000000" w:themeColor="text1"/>
        </w:rPr>
        <w:t>          Bất kỳ pháp nhân nào có mã số thuế hợp pháp đều được nhập khẩu, mà không cần bất kỳ giấy chứng nhận nào.</w:t>
      </w:r>
    </w:p>
    <w:p w14:paraId="556C0ADB" w14:textId="77777777" w:rsidR="00FD0B28" w:rsidRPr="00FD0B28" w:rsidRDefault="00FD0B28" w:rsidP="00FD0B28">
      <w:pPr>
        <w:jc w:val="both"/>
        <w:rPr>
          <w:rFonts w:ascii="Times New Roman" w:eastAsia="Times New Roman" w:hAnsi="Times New Roman" w:cs="Times New Roman"/>
          <w:color w:val="000000" w:themeColor="text1"/>
        </w:rPr>
      </w:pPr>
      <w:r w:rsidRPr="00FD0B28">
        <w:rPr>
          <w:rFonts w:ascii="Times New Roman" w:eastAsia="Times New Roman" w:hAnsi="Times New Roman" w:cs="Times New Roman"/>
          <w:color w:val="000000" w:themeColor="text1"/>
        </w:rPr>
        <w:t xml:space="preserve">          Dệt may và quần áo được đưa vào diện đăng ký, giám sát các sản phẩm nhập khẩu kể từ ngày 01 tháng 01 năm 2010 (được đăng trên Công báo số 27449 ngày 31/12/2009). Việc đăng ký diễn ra trước khi nhập khẩu, bao gồm tờ mẫu đăng ký của người xuất khẩu đã được chứng nhận. </w:t>
      </w:r>
      <w:r w:rsidRPr="00FD0B28">
        <w:rPr>
          <w:rFonts w:ascii="Times New Roman" w:eastAsia="Times New Roman" w:hAnsi="Times New Roman" w:cs="Times New Roman"/>
          <w:color w:val="000000" w:themeColor="text1"/>
        </w:rPr>
        <w:lastRenderedPageBreak/>
        <w:t>Thông tin bao gồm tên, địa chỉ công ty, số lao động, tổng doanh thu, giấy chứng nhận chất lượng quốc tế và danh sách các điểm đến khác đối với hàng xuất khẩu của công ty. Đơn đăng ký có thể được nộp qua mạng Internet hoặc phần mềm XML. Mẫu đăng ký của người xuất khẩu phải có chứng nhận của cơ quan có thẩm quyền như Phòng Thương mại, Công chứng viên Thổ Nhĩ Kỳ, hoặc Tổng Lãnh sự quán Thổ Nhĩ Kỳ (chứng nhận lãnh sự không bắt buộc phải cung cấp vì Thổ Nhĩ Kỳ có một thỏa thuận xác nhận theo Công ước Hague năm 1961 có hiệu lực với các nước xuất khẩu). Các mẫu phải được nộp một lần, cập nhật hoặc gia hạn có thể được thực hiện qua internet. Các nhà xuất khẩu có thể đổi Giấy chứng nhận của họ qua e -mail.</w:t>
      </w:r>
    </w:p>
    <w:p w14:paraId="2CE95903" w14:textId="77777777" w:rsidR="00FD0B28" w:rsidRPr="00FD0B28" w:rsidRDefault="00FD0B28" w:rsidP="00FD0B28">
      <w:pPr>
        <w:jc w:val="both"/>
        <w:rPr>
          <w:rFonts w:ascii="Times New Roman" w:eastAsia="Times New Roman" w:hAnsi="Times New Roman" w:cs="Times New Roman"/>
          <w:color w:val="000000" w:themeColor="text1"/>
        </w:rPr>
      </w:pPr>
      <w:r w:rsidRPr="00FD0B28">
        <w:rPr>
          <w:rFonts w:ascii="Times New Roman" w:eastAsia="Times New Roman" w:hAnsi="Times New Roman" w:cs="Times New Roman"/>
          <w:i/>
          <w:iCs/>
          <w:color w:val="000000" w:themeColor="text1"/>
        </w:rPr>
        <w:t>Trần Ngọc Hà</w:t>
      </w:r>
    </w:p>
    <w:p w14:paraId="268F9D07" w14:textId="77777777" w:rsidR="00DD12EB" w:rsidRPr="00FD0B28" w:rsidRDefault="00DD12EB" w:rsidP="00FD0B28">
      <w:pPr>
        <w:jc w:val="both"/>
        <w:rPr>
          <w:rFonts w:ascii="Times New Roman" w:hAnsi="Times New Roman" w:cs="Times New Roman"/>
          <w:color w:val="000000" w:themeColor="text1"/>
        </w:rPr>
      </w:pPr>
    </w:p>
    <w:sectPr w:rsidR="00DD12EB" w:rsidRPr="00FD0B28">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1"/>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D0B28"/>
    <w:rsid w:val="00DD12EB"/>
    <w:rsid w:val="00FD0B28"/>
  </w:rsids>
  <m:mathPr>
    <m:mathFont m:val="Cambria Math"/>
    <m:brkBin m:val="before"/>
    <m:brkBinSub m:val="--"/>
    <m:smallFrac m:val="0"/>
    <m:dispDef/>
    <m:lMargin m:val="0"/>
    <m:rMargin m:val="0"/>
    <m:defJc m:val="centerGroup"/>
    <m:wrapIndent m:val="1440"/>
    <m:intLim m:val="subSup"/>
    <m:naryLim m:val="undOvr"/>
  </m:mathPr>
  <w:themeFontLang w:val="en-VN"/>
  <w:clrSchemeMapping w:bg1="light1" w:t1="dark1" w:bg2="light2" w:t2="dark2" w:accent1="accent1" w:accent2="accent2" w:accent3="accent3" w:accent4="accent4" w:accent5="accent5" w:accent6="accent6" w:hyperlink="hyperlink" w:followedHyperlink="followedHyperlink"/>
  <w:decimalSymbol w:val=","/>
  <w:listSeparator w:val=","/>
  <w14:docId w14:val="6B798800"/>
  <w15:chartTrackingRefBased/>
  <w15:docId w15:val="{E297DB7C-FA3F-304C-A80E-BFB4839E89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0B28"/>
  </w:style>
  <w:style w:type="paragraph" w:styleId="Heading1">
    <w:name w:val="heading 1"/>
    <w:basedOn w:val="Normal"/>
    <w:link w:val="Heading1Char"/>
    <w:uiPriority w:val="9"/>
    <w:qFormat/>
    <w:rsid w:val="00FD0B28"/>
    <w:pPr>
      <w:spacing w:before="100" w:beforeAutospacing="1" w:after="100" w:afterAutospacing="1"/>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B28"/>
    <w:rPr>
      <w:rFonts w:ascii="Times New Roman" w:eastAsia="Times New Roman" w:hAnsi="Times New Roman" w:cs="Times New Roman"/>
      <w:b/>
      <w:bCs/>
      <w:kern w:val="36"/>
      <w:sz w:val="48"/>
      <w:szCs w:val="48"/>
    </w:rPr>
  </w:style>
  <w:style w:type="paragraph" w:styleId="NormalWeb">
    <w:name w:val="Normal (Web)"/>
    <w:basedOn w:val="Normal"/>
    <w:uiPriority w:val="99"/>
    <w:semiHidden/>
    <w:unhideWhenUsed/>
    <w:rsid w:val="00FD0B28"/>
    <w:pPr>
      <w:spacing w:before="100" w:beforeAutospacing="1" w:after="100" w:afterAutospacing="1"/>
    </w:pPr>
    <w:rPr>
      <w:rFonts w:ascii="Times New Roman" w:eastAsia="Times New Roman" w:hAnsi="Times New Roman" w:cs="Times New Roman"/>
    </w:rPr>
  </w:style>
  <w:style w:type="character" w:styleId="Emphasis">
    <w:name w:val="Emphasis"/>
    <w:basedOn w:val="DefaultParagraphFont"/>
    <w:uiPriority w:val="20"/>
    <w:qFormat/>
    <w:rsid w:val="00FD0B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07733494">
      <w:bodyDiv w:val="1"/>
      <w:marLeft w:val="0"/>
      <w:marRight w:val="0"/>
      <w:marTop w:val="0"/>
      <w:marBottom w:val="0"/>
      <w:divBdr>
        <w:top w:val="none" w:sz="0" w:space="0" w:color="auto"/>
        <w:left w:val="none" w:sz="0" w:space="0" w:color="auto"/>
        <w:bottom w:val="none" w:sz="0" w:space="0" w:color="auto"/>
        <w:right w:val="none" w:sz="0" w:space="0" w:color="auto"/>
      </w:divBdr>
      <w:divsChild>
        <w:div w:id="1819373212">
          <w:marLeft w:val="0"/>
          <w:marRight w:val="0"/>
          <w:marTop w:val="0"/>
          <w:marBottom w:val="225"/>
          <w:divBdr>
            <w:top w:val="none" w:sz="0" w:space="0" w:color="auto"/>
            <w:left w:val="none" w:sz="0" w:space="0" w:color="auto"/>
            <w:bottom w:val="none" w:sz="0" w:space="0" w:color="auto"/>
            <w:right w:val="none" w:sz="0" w:space="0" w:color="auto"/>
          </w:divBdr>
        </w:div>
        <w:div w:id="1961377224">
          <w:marLeft w:val="0"/>
          <w:marRight w:val="0"/>
          <w:marTop w:val="0"/>
          <w:marBottom w:val="150"/>
          <w:divBdr>
            <w:top w:val="none" w:sz="0" w:space="0" w:color="auto"/>
            <w:left w:val="none" w:sz="0" w:space="0" w:color="auto"/>
            <w:bottom w:val="none" w:sz="0" w:space="0" w:color="auto"/>
            <w:right w:val="none" w:sz="0" w:space="0" w:color="auto"/>
          </w:divBdr>
        </w:div>
        <w:div w:id="888032217">
          <w:marLeft w:val="0"/>
          <w:marRight w:val="0"/>
          <w:marTop w:val="0"/>
          <w:marBottom w:val="30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685</Words>
  <Characters>3909</Characters>
  <Application>Microsoft Office Word</Application>
  <DocSecurity>0</DocSecurity>
  <Lines>32</Lines>
  <Paragraphs>9</Paragraphs>
  <ScaleCrop>false</ScaleCrop>
  <Company/>
  <LinksUpToDate>false</LinksUpToDate>
  <CharactersWithSpaces>4585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Pham Linh</dc:creator>
  <cp:keywords/>
  <dc:description/>
  <cp:lastModifiedBy>Pham Linh</cp:lastModifiedBy>
  <cp:revision>1</cp:revision>
  <dcterms:created xsi:type="dcterms:W3CDTF">2022-08-18T09:47:00Z</dcterms:created>
  <dcterms:modified xsi:type="dcterms:W3CDTF">2022-08-18T09:48:00Z</dcterms:modified>
</cp:coreProperties>
</file>