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C484A" w14:textId="77777777" w:rsidR="00CE47F8" w:rsidRPr="00CE47F8" w:rsidRDefault="00CE47F8" w:rsidP="00CE47F8">
      <w:pPr>
        <w:jc w:val="center"/>
        <w:outlineLvl w:val="0"/>
        <w:rPr>
          <w:rFonts w:ascii="Times New Roman" w:eastAsia="Times New Roman" w:hAnsi="Times New Roman" w:cs="Times New Roman"/>
          <w:b/>
          <w:bCs/>
          <w:color w:val="0D0D0D" w:themeColor="text1" w:themeTint="F2"/>
          <w:kern w:val="36"/>
        </w:rPr>
      </w:pPr>
      <w:r w:rsidRPr="00CE47F8">
        <w:rPr>
          <w:rFonts w:ascii="Times New Roman" w:eastAsia="Times New Roman" w:hAnsi="Times New Roman" w:cs="Times New Roman"/>
          <w:b/>
          <w:bCs/>
          <w:color w:val="0D0D0D" w:themeColor="text1" w:themeTint="F2"/>
          <w:kern w:val="36"/>
        </w:rPr>
        <w:t>Chính sách thương mại Ả-rập Xê-út</w:t>
      </w:r>
    </w:p>
    <w:p w14:paraId="4B3E1B58" w14:textId="77777777" w:rsidR="00CE47F8" w:rsidRPr="00CE47F8" w:rsidRDefault="00CE47F8" w:rsidP="00CE47F8">
      <w:pPr>
        <w:rPr>
          <w:rFonts w:ascii="Times New Roman" w:eastAsia="Times New Roman" w:hAnsi="Times New Roman" w:cs="Times New Roman"/>
          <w:b/>
          <w:bCs/>
          <w:color w:val="0D0D0D" w:themeColor="text1" w:themeTint="F2"/>
        </w:rPr>
      </w:pPr>
      <w:r w:rsidRPr="00CE47F8">
        <w:rPr>
          <w:rFonts w:ascii="Times New Roman" w:eastAsia="Times New Roman" w:hAnsi="Times New Roman" w:cs="Times New Roman"/>
          <w:b/>
          <w:bCs/>
          <w:color w:val="0D0D0D" w:themeColor="text1" w:themeTint="F2"/>
        </w:rPr>
        <w:t>Ả-rập Xê-út là thị trường lớn tại khu vực Trung Đông và có vị trí địa lý chiến lược tại khu vực: phía Bắc giáp Giooc-đa-ni và I-rắc, phía Nam giáp Yê-men và Ô-man, phía Tây giáp biển Đỏ, phía Đông trông ra Vịnh Pec-xích, có biên giới với Cô-oét, Ba-ranh và Các Tiểu vương quốc Ả-rập thống nhất (UAE).</w:t>
      </w:r>
    </w:p>
    <w:p w14:paraId="28ABDE5B" w14:textId="77777777" w:rsidR="00CE47F8" w:rsidRPr="00CE47F8" w:rsidRDefault="00CE47F8" w:rsidP="00CE47F8">
      <w:pPr>
        <w:jc w:val="both"/>
        <w:rPr>
          <w:rFonts w:ascii="Times New Roman" w:eastAsia="Times New Roman" w:hAnsi="Times New Roman" w:cs="Times New Roman"/>
          <w:color w:val="0D0D0D" w:themeColor="text1" w:themeTint="F2"/>
        </w:rPr>
      </w:pPr>
      <w:r w:rsidRPr="00CE47F8">
        <w:rPr>
          <w:rFonts w:ascii="Times New Roman" w:eastAsia="Times New Roman" w:hAnsi="Times New Roman" w:cs="Times New Roman"/>
          <w:color w:val="0D0D0D" w:themeColor="text1" w:themeTint="F2"/>
        </w:rPr>
        <w:t>Ả-rập Xê-út có diện tích tương đối lớn so với các nước trong khu vực Trung Đông với diện tích là 2.149.690 km2. Dân số gồm 26,9 triệu người (tháng 07/2013). Trong đó có 6,76 triệu người tham gia vào lực lượng lao động, khoảng 35% là người lao động nước ngoài (25% làm việc trong ngành công nghiệp, 63% trong ngành dịch vụ, 12% trong ngành nông nghiệp).</w:t>
      </w:r>
    </w:p>
    <w:p w14:paraId="647E054D" w14:textId="77777777" w:rsidR="00CE47F8" w:rsidRPr="00CE47F8" w:rsidRDefault="00CE47F8" w:rsidP="00CE47F8">
      <w:pPr>
        <w:jc w:val="both"/>
        <w:rPr>
          <w:rFonts w:ascii="Times New Roman" w:eastAsia="Times New Roman" w:hAnsi="Times New Roman" w:cs="Times New Roman"/>
          <w:color w:val="0D0D0D" w:themeColor="text1" w:themeTint="F2"/>
        </w:rPr>
      </w:pPr>
      <w:r w:rsidRPr="00CE47F8">
        <w:rPr>
          <w:rFonts w:ascii="Times New Roman" w:eastAsia="Times New Roman" w:hAnsi="Times New Roman" w:cs="Times New Roman"/>
          <w:color w:val="0D0D0D" w:themeColor="text1" w:themeTint="F2"/>
        </w:rPr>
        <w:t>Ả-rập Xê-út thực hiện chính sách tự do thương mại dựa trên cơ sở cạnh tranh lành mạnh, không kiểm soát ngoại hối hoặc áp dụng rào cản về thuế. Chính phủ Ả-rập Xê-út thực hiện chính sách khuyến khích tự do kinh doanh, tôn trọng quyền sở hữu cá nhân. Hoạt động ngoại thương đóng vai trò quan trọng đối với sự phát triển của nền kinh tế quốc dân, một phần do vị trí địa lý và đia hình đặc thù của Ả-rập Xê-út trên bản đồ thế giới, phần khác do thực thi chính sách tự do thương mại nên Ả-rập Xê-út không áp dụng hạn chế về giá hoặc hạn ngạch đối với người nhập khẩu, ngoại trừ mặt hàng đồ uống có cồn và sản phẩm thịt lợn bị cấm.</w:t>
      </w:r>
    </w:p>
    <w:p w14:paraId="519E364F" w14:textId="77777777" w:rsidR="00CE47F8" w:rsidRPr="00CE47F8" w:rsidRDefault="00CE47F8" w:rsidP="00CE47F8">
      <w:pPr>
        <w:jc w:val="both"/>
        <w:rPr>
          <w:rFonts w:ascii="Times New Roman" w:eastAsia="Times New Roman" w:hAnsi="Times New Roman" w:cs="Times New Roman"/>
          <w:color w:val="0D0D0D" w:themeColor="text1" w:themeTint="F2"/>
        </w:rPr>
      </w:pPr>
      <w:r w:rsidRPr="00CE47F8">
        <w:rPr>
          <w:rFonts w:ascii="Times New Roman" w:eastAsia="Times New Roman" w:hAnsi="Times New Roman" w:cs="Times New Roman"/>
          <w:color w:val="0D0D0D" w:themeColor="text1" w:themeTint="F2"/>
        </w:rPr>
        <w:t>Ả-rập Xê-út áp dụng giới hạn thuế nhập khẩu với tất cả sản phẩm nông nghiệp và phi nông nghiệp và không có trường hợp ngoại lệ. Theo đó, 100% thuế nhập khẩu đều được giới hạn với hơn 95% trong số đó áp dụng thuế phần trăm (ad-valorem tarriffs). Việc thực thi các cam kết về thuế của Ả-rập Xê-út bao gồm 6 giai đoạn, giai đoạn đầu tiên đã được thực thi vào tháng 12/2005 và giai đoạn cuối cùng sẽ được thực thi vào năm 2015.</w:t>
      </w:r>
    </w:p>
    <w:p w14:paraId="3D965EA6" w14:textId="77777777" w:rsidR="00CE47F8" w:rsidRPr="00CE47F8" w:rsidRDefault="00CE47F8" w:rsidP="00CE47F8">
      <w:pPr>
        <w:jc w:val="both"/>
        <w:rPr>
          <w:rFonts w:ascii="Times New Roman" w:eastAsia="Times New Roman" w:hAnsi="Times New Roman" w:cs="Times New Roman"/>
          <w:color w:val="0D0D0D" w:themeColor="text1" w:themeTint="F2"/>
        </w:rPr>
      </w:pPr>
      <w:r w:rsidRPr="00CE47F8">
        <w:rPr>
          <w:rFonts w:ascii="Times New Roman" w:eastAsia="Times New Roman" w:hAnsi="Times New Roman" w:cs="Times New Roman"/>
          <w:color w:val="0D0D0D" w:themeColor="text1" w:themeTint="F2"/>
        </w:rPr>
        <w:t>Về thuế nhập khẩu, Ả-rập Xê-út có thuế MFN tương đối đơn giản. 98,6% tổng số dòng thuế là thuế tương đối, 19 dòng thuế là thuế hỗn hợp (đối với thuốc lá và các sản phẩm liên quan đến thuốc lá), 81 dòng dành cho các sản phẩm bị cấm vì lý do tôn giáo (ví dụ, đồ uống có cồn, thịt lợn và các sản phẩm thịt lợn). Ả-rập Xê-út không áp hạn ngạch thuế quan, không áp thuế thời vụ, không có các loại thuế và phí nhập khẩu. Ả-rập Xê-út cũng không áp thuế VAT, thuế môn bài hoặc bất kỳ loại thuế trong nước nào đối với hàng hóa sản xuất trong nước và sản phẩm nhập khẩu. Mức thuế MFN trung bình được áp dụng tại Ả-rập Xê-út là 5,2%. Mức thuế trung bình đối với nông sản là 6,1%, đối với sản phẩm phi nông nghiệp là 5%.</w:t>
      </w:r>
    </w:p>
    <w:p w14:paraId="4CB9DA00" w14:textId="77777777" w:rsidR="00CE47F8" w:rsidRPr="00CE47F8" w:rsidRDefault="00CE47F8" w:rsidP="00CE47F8">
      <w:pPr>
        <w:jc w:val="both"/>
        <w:rPr>
          <w:rFonts w:ascii="Times New Roman" w:eastAsia="Times New Roman" w:hAnsi="Times New Roman" w:cs="Times New Roman"/>
          <w:color w:val="0D0D0D" w:themeColor="text1" w:themeTint="F2"/>
        </w:rPr>
      </w:pPr>
      <w:r w:rsidRPr="00CE47F8">
        <w:rPr>
          <w:rFonts w:ascii="Times New Roman" w:eastAsia="Times New Roman" w:hAnsi="Times New Roman" w:cs="Times New Roman"/>
          <w:color w:val="0D0D0D" w:themeColor="text1" w:themeTint="F2"/>
        </w:rPr>
        <w:t>Việc sử dụng đại lý thương mại là bắt buộc đối với xuất nhập khẩu máy nông nghiệp. Việc cấm xuất nhập khẩu vẫn được duy trì đối với nhiều sản phẩm, chủ yếu là vì các lý do y tế, an ninh và tôn giáo. Ả-rập Xê-út hiện đang hài hóa cơ chế và các tiêu chuẩn kỹ thuật theo các quy định chung của GCC. Ả-rập Xê-út đã thông qua các điều khoản đối xử của GCC về thương mại nhưng không áp thuế chống bán phá giá, thuế đối kháng, hoặc các biện pháp tự vệ.</w:t>
      </w:r>
    </w:p>
    <w:p w14:paraId="10ED07B9" w14:textId="77777777" w:rsidR="00CE47F8" w:rsidRPr="00CE47F8" w:rsidRDefault="00CE47F8" w:rsidP="00CE47F8">
      <w:pPr>
        <w:jc w:val="both"/>
        <w:rPr>
          <w:rFonts w:ascii="Times New Roman" w:eastAsia="Times New Roman" w:hAnsi="Times New Roman" w:cs="Times New Roman"/>
          <w:color w:val="0D0D0D" w:themeColor="text1" w:themeTint="F2"/>
        </w:rPr>
      </w:pPr>
      <w:r w:rsidRPr="00CE47F8">
        <w:rPr>
          <w:rFonts w:ascii="Times New Roman" w:eastAsia="Times New Roman" w:hAnsi="Times New Roman" w:cs="Times New Roman"/>
          <w:color w:val="0D0D0D" w:themeColor="text1" w:themeTint="F2"/>
        </w:rPr>
        <w:t xml:space="preserve">Chính phủ Ả-rập Xê-út cam kết hỗ trợ khu vực tư nhân trong hoạt động thương mại. Để kiềm chế lạm phát, Bộ Thương mại Ả-rập Xê-út thường xuyên kiểm tra việc cung ứng và giá cả của các loại hàng hoá cơ bản. Chính phủ đã tạo lập một chính sách cung nhằm đạt được các mục tiêu: thu mua các sản phẩm thiết yếu với số lượng cung ứng đủ cho tất cả các thị trường, cung cấp hàng với khối lượng và giá cả hợp lý, mở rộng sự lựa chọn tiêu dùng, tăng cường cạnh tranh lành mạnh giữa các nhà cung cấp, khuyến khích thành lập các chuỗi cung cấp và nâng cấp mức độ cung ứng dịch vụ thương mại, thúc đẩy sự hiểu biết và hợp tác tốt hơn giữa khu vực thương mại tư nhân và chính phủ. Chính sách cung cấp của Ả-rập Xê-út dựa trên các nguyên tắc như: Tin tưởng vào hệ thống doanh nghiệp tư nhân theo các điều kiện thông thường, Chính phủ chỉ can thiệp khi có các điều kiện bất thường và khi thấy hoàn toàn cần thiết, ấn định mức giá trần ở thị trường nội địa đối với một số hàng hoá cơ bản và lương thực thực phẩm được lựa chọn nhằm đáp ứng cho đa số người tiêu dùng và nhằm bảo vệ người tiêu dùng trước biến động đột ngột của giá hàng hoá trên thị </w:t>
      </w:r>
      <w:r w:rsidRPr="00CE47F8">
        <w:rPr>
          <w:rFonts w:ascii="Times New Roman" w:eastAsia="Times New Roman" w:hAnsi="Times New Roman" w:cs="Times New Roman"/>
          <w:color w:val="0D0D0D" w:themeColor="text1" w:themeTint="F2"/>
        </w:rPr>
        <w:lastRenderedPageBreak/>
        <w:t>trường quốc tế, đồng thời tăng cường chương trình trợ cấp hợp lý để bù đắp cho người nhập khẩu các hàng hoá cung ứng khi chi phí nhập khẩu vượt quá mức giá trần, ấn định mức lợi nhuận trần trong mua bán nhóm hàng hoá thiết yếu khác, giám sát và quy định đối với hoạt động lưu kho hàng nhập khẩu thiết yếu do khu vực tư nhân thực hiện.</w:t>
      </w:r>
    </w:p>
    <w:p w14:paraId="704DEFE3" w14:textId="77777777" w:rsidR="00CE47F8" w:rsidRPr="00CE47F8" w:rsidRDefault="00CE47F8" w:rsidP="00CE47F8">
      <w:pPr>
        <w:jc w:val="both"/>
        <w:rPr>
          <w:rFonts w:ascii="Times New Roman" w:eastAsia="Times New Roman" w:hAnsi="Times New Roman" w:cs="Times New Roman"/>
          <w:color w:val="0D0D0D" w:themeColor="text1" w:themeTint="F2"/>
        </w:rPr>
      </w:pPr>
      <w:r w:rsidRPr="00CE47F8">
        <w:rPr>
          <w:rFonts w:ascii="Times New Roman" w:eastAsia="Times New Roman" w:hAnsi="Times New Roman" w:cs="Times New Roman"/>
          <w:color w:val="0D0D0D" w:themeColor="text1" w:themeTint="F2"/>
        </w:rPr>
        <w:t>Ngoài ra, Chính phủ cũng đảm bảo các mục tiêu bảo vệ người tiêu dùng như: bảo vệ và thông tin kịp thời cho người tiêu dùng về những gian lận thương mại, ngăn chặn xu hướng gia tăng độc quyền, góp phần bình ổn giá cả và chi phí sinh hoạt, kiểm soát chất lượng của các sản phẩm lương thực thực phẩm nhập khẩu hoặc sản xuất trong nước và các sản phẩm tiêu dùng khác bằng việc kiểm tra các tiêu chuẩn và yêu cầu kỹ thuật do Tổ chức Đánh giá Tiêu chuẩn của Ả-rập Xê-út (SASO) hoặc các tiêu chuẩn quốc tế quy định khác. Việc kiểm tra các sản phẩm phải tuân thủ các yêu cầu về tôn giáo của đạo Hồi, đảm bảo việc áp dụng các quy định tiêu chuẩn hoá về mặt thương mại phải phù hợp với khối lượng, kích cỡ và trọng lượng, đảm bảo áp dụng các yêu cầu kỹ thuật của kim loại quý như vàng, bạc, bạch kim... Ả-rập Xê-út cũng đã thực hiện Hệ thống mã hiệu và mô tả hàng hóa hài hóa thuế quan (HS) của Brussels từ năm 1991.</w:t>
      </w:r>
    </w:p>
    <w:p w14:paraId="78F8D3B1" w14:textId="77777777" w:rsidR="00CE47F8" w:rsidRPr="00CE47F8" w:rsidRDefault="00CE47F8" w:rsidP="00CE47F8">
      <w:pPr>
        <w:jc w:val="both"/>
        <w:rPr>
          <w:rFonts w:ascii="Times New Roman" w:eastAsia="Times New Roman" w:hAnsi="Times New Roman" w:cs="Times New Roman"/>
          <w:color w:val="0D0D0D" w:themeColor="text1" w:themeTint="F2"/>
        </w:rPr>
      </w:pPr>
      <w:r w:rsidRPr="00CE47F8">
        <w:rPr>
          <w:rFonts w:ascii="Times New Roman" w:eastAsia="Times New Roman" w:hAnsi="Times New Roman" w:cs="Times New Roman"/>
          <w:i/>
          <w:iCs/>
          <w:color w:val="0D0D0D" w:themeColor="text1" w:themeTint="F2"/>
        </w:rPr>
        <w:t>Phạm Xuân Trang</w:t>
      </w:r>
    </w:p>
    <w:p w14:paraId="7CDE33CB" w14:textId="77777777" w:rsidR="00CE47F8" w:rsidRPr="00CE47F8" w:rsidRDefault="00CE47F8" w:rsidP="00CE47F8">
      <w:pPr>
        <w:rPr>
          <w:rFonts w:ascii="Times New Roman" w:eastAsia="Times New Roman" w:hAnsi="Times New Roman" w:cs="Times New Roman"/>
          <w:color w:val="0D0D0D" w:themeColor="text1" w:themeTint="F2"/>
        </w:rPr>
      </w:pPr>
      <w:r w:rsidRPr="00CE47F8">
        <w:rPr>
          <w:rFonts w:ascii="Times New Roman" w:eastAsia="Times New Roman" w:hAnsi="Times New Roman" w:cs="Times New Roman"/>
          <w:color w:val="0D0D0D" w:themeColor="text1" w:themeTint="F2"/>
        </w:rPr>
        <w:t> </w:t>
      </w:r>
    </w:p>
    <w:p w14:paraId="7375F4BE" w14:textId="77777777" w:rsidR="00CE47F8" w:rsidRPr="00CE47F8" w:rsidRDefault="00CE47F8" w:rsidP="00CE47F8">
      <w:pPr>
        <w:jc w:val="right"/>
        <w:textAlignment w:val="center"/>
        <w:rPr>
          <w:rFonts w:ascii="Times New Roman" w:eastAsia="Times New Roman" w:hAnsi="Times New Roman" w:cs="Times New Roman"/>
          <w:b/>
          <w:bCs/>
          <w:color w:val="0D0D0D" w:themeColor="text1" w:themeTint="F2"/>
        </w:rPr>
      </w:pPr>
      <w:r w:rsidRPr="00CE47F8">
        <w:rPr>
          <w:rFonts w:ascii="Times New Roman" w:eastAsia="Times New Roman" w:hAnsi="Times New Roman" w:cs="Times New Roman"/>
          <w:b/>
          <w:bCs/>
          <w:color w:val="0D0D0D" w:themeColor="text1" w:themeTint="F2"/>
        </w:rPr>
        <w:t>Vụ thị trường Châu Phi Tây Nam Á</w:t>
      </w:r>
    </w:p>
    <w:p w14:paraId="267A31B8" w14:textId="77777777" w:rsidR="00C35E9C" w:rsidRPr="00CE47F8" w:rsidRDefault="00C35E9C">
      <w:pPr>
        <w:rPr>
          <w:rFonts w:ascii="Times New Roman" w:hAnsi="Times New Roman" w:cs="Times New Roman"/>
          <w:color w:val="0D0D0D" w:themeColor="text1" w:themeTint="F2"/>
        </w:rPr>
      </w:pPr>
    </w:p>
    <w:sectPr w:rsidR="00C35E9C" w:rsidRPr="00CE47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7F8"/>
    <w:rsid w:val="00C35E9C"/>
    <w:rsid w:val="00CE47F8"/>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D670B"/>
  <w15:chartTrackingRefBased/>
  <w15:docId w15:val="{26BDF5FC-CBD2-F742-BB23-CBE550510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47F8"/>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7F8"/>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CE47F8"/>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CE47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90160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66">
          <w:marLeft w:val="0"/>
          <w:marRight w:val="0"/>
          <w:marTop w:val="0"/>
          <w:marBottom w:val="225"/>
          <w:divBdr>
            <w:top w:val="none" w:sz="0" w:space="0" w:color="auto"/>
            <w:left w:val="none" w:sz="0" w:space="0" w:color="auto"/>
            <w:bottom w:val="none" w:sz="0" w:space="0" w:color="auto"/>
            <w:right w:val="none" w:sz="0" w:space="0" w:color="auto"/>
          </w:divBdr>
        </w:div>
        <w:div w:id="975065534">
          <w:marLeft w:val="0"/>
          <w:marRight w:val="0"/>
          <w:marTop w:val="0"/>
          <w:marBottom w:val="150"/>
          <w:divBdr>
            <w:top w:val="none" w:sz="0" w:space="0" w:color="auto"/>
            <w:left w:val="none" w:sz="0" w:space="0" w:color="auto"/>
            <w:bottom w:val="none" w:sz="0" w:space="0" w:color="auto"/>
            <w:right w:val="none" w:sz="0" w:space="0" w:color="auto"/>
          </w:divBdr>
        </w:div>
        <w:div w:id="88893770">
          <w:marLeft w:val="0"/>
          <w:marRight w:val="0"/>
          <w:marTop w:val="0"/>
          <w:marBottom w:val="300"/>
          <w:divBdr>
            <w:top w:val="none" w:sz="0" w:space="0" w:color="auto"/>
            <w:left w:val="none" w:sz="0" w:space="0" w:color="auto"/>
            <w:bottom w:val="none" w:sz="0" w:space="0" w:color="auto"/>
            <w:right w:val="none" w:sz="0" w:space="0" w:color="auto"/>
          </w:divBdr>
        </w:div>
        <w:div w:id="1390299122">
          <w:marLeft w:val="0"/>
          <w:marRight w:val="0"/>
          <w:marTop w:val="0"/>
          <w:marBottom w:val="750"/>
          <w:divBdr>
            <w:top w:val="none" w:sz="0" w:space="0" w:color="auto"/>
            <w:left w:val="none" w:sz="0" w:space="0" w:color="auto"/>
            <w:bottom w:val="none" w:sz="0" w:space="0" w:color="auto"/>
            <w:right w:val="none" w:sz="0" w:space="0" w:color="auto"/>
          </w:divBdr>
          <w:divsChild>
            <w:div w:id="180199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795</Words>
  <Characters>4536</Characters>
  <Application>Microsoft Office Word</Application>
  <DocSecurity>0</DocSecurity>
  <Lines>37</Lines>
  <Paragraphs>10</Paragraphs>
  <ScaleCrop>false</ScaleCrop>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2022-11-16T02:43:00Z</dcterms:created>
  <dcterms:modified xsi:type="dcterms:W3CDTF">2022-11-16T02:43:00Z</dcterms:modified>
</cp:coreProperties>
</file>