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4A949" w14:textId="77777777" w:rsidR="00194E48" w:rsidRPr="00194E48" w:rsidRDefault="00194E48" w:rsidP="00194E48">
      <w:pPr>
        <w:spacing w:line="240" w:lineRule="auto"/>
        <w:jc w:val="center"/>
        <w:outlineLvl w:val="0"/>
        <w:rPr>
          <w:rFonts w:asciiTheme="majorHAnsi" w:eastAsia="Times New Roman" w:hAnsiTheme="majorHAnsi" w:cstheme="majorHAnsi"/>
          <w:b/>
          <w:bCs/>
          <w:color w:val="1C2124"/>
          <w:kern w:val="36"/>
          <w:sz w:val="24"/>
          <w:szCs w:val="24"/>
          <w:lang w:eastAsia="vi-VN"/>
        </w:rPr>
      </w:pPr>
      <w:r w:rsidRPr="00194E48">
        <w:rPr>
          <w:rFonts w:asciiTheme="majorHAnsi" w:eastAsia="Times New Roman" w:hAnsiTheme="majorHAnsi" w:cstheme="majorHAnsi"/>
          <w:b/>
          <w:bCs/>
          <w:color w:val="1C2124"/>
          <w:kern w:val="36"/>
          <w:sz w:val="24"/>
          <w:szCs w:val="24"/>
          <w:lang w:eastAsia="vi-VN"/>
        </w:rPr>
        <w:t>Các quy định về thương mại và đầu tư của Bê-nanh</w:t>
      </w:r>
    </w:p>
    <w:p w14:paraId="146F2E9D" w14:textId="77777777" w:rsidR="00194E48" w:rsidRPr="00194E48" w:rsidRDefault="00194E48" w:rsidP="00194E48">
      <w:pPr>
        <w:spacing w:after="150" w:line="240" w:lineRule="auto"/>
        <w:rPr>
          <w:rFonts w:asciiTheme="majorHAnsi" w:eastAsia="Times New Roman" w:hAnsiTheme="majorHAnsi" w:cstheme="majorHAnsi"/>
          <w:b/>
          <w:bCs/>
          <w:color w:val="494949"/>
          <w:sz w:val="24"/>
          <w:szCs w:val="24"/>
          <w:lang w:eastAsia="vi-VN"/>
        </w:rPr>
      </w:pPr>
      <w:r w:rsidRPr="00194E48">
        <w:rPr>
          <w:rFonts w:asciiTheme="majorHAnsi" w:eastAsia="Times New Roman" w:hAnsiTheme="majorHAnsi" w:cstheme="majorHAnsi"/>
          <w:b/>
          <w:bCs/>
          <w:color w:val="494949"/>
          <w:sz w:val="24"/>
          <w:szCs w:val="24"/>
          <w:lang w:eastAsia="vi-VN"/>
        </w:rPr>
        <w:t>Bê-nanh thực thi Biểu Thuế Đối ngoại chung (CET) bắt đầu từ năm 2000, cùng với các quốc gia khác thuộc Khối Liên minh kinh tế và Tiền tệ Tây Phi (WAEMU) có trên 180 triệu người tiêu dùng gồm cả Ni-giê-ria. CET thiết lập 4 chủng loại sản phẩm có mức thuế từ 0%, 5%, 10% và 20%. Tất cả các sản phẩm đều chịu 1% thuế thống kê và 0,5% Thuế Đoàn kết Cộng đồng. Những loại thuế này còn được gọi là TDP, TCI và còn có các loại thuế bảo hộ cụ thể khác đánh vào các mặt hàng như thuốc lá và “các mặt hàng có tính chiến lược” như gạo và đường nhằm “chống lại sự dao động giá cả quốc tế”.</w:t>
      </w:r>
    </w:p>
    <w:p w14:paraId="085BEF64"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494949"/>
          <w:sz w:val="24"/>
          <w:szCs w:val="24"/>
          <w:u w:val="single"/>
          <w:lang w:val="pt-BR" w:eastAsia="vi-VN"/>
        </w:rPr>
        <w:t>I. QUI CHẾ THƯƠNG MẠI, HẢI QUAN</w:t>
      </w:r>
    </w:p>
    <w:p w14:paraId="49FB8534"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494949"/>
          <w:sz w:val="24"/>
          <w:szCs w:val="24"/>
          <w:lang w:val="pt-BR" w:eastAsia="vi-VN"/>
        </w:rPr>
        <w:t>Bê-nanh thực thi Biểu Thuế Đối ngoại chung (CET) bắt đầu từ năm 2000, cùng với các quốc gia khác thuộc Khối Liên minh kinh tế và Tiền tệ Tây Phi (WAEMU) có trên 180 triệu người tiêu dùng gồm cả Ni-giê-ria. CET thiết lập 4 chủng loại sản phẩm có mức thuế từ 0%, 5%, 10% và 20%. Tất cả các sản phẩm đều chịu 1% thuế thống kê và 0,5% Thuế Đoàn kết Cộng đồng. Những loại thuế này còn được gọi là TDP, TCI và còn có các loại thuế bảo hộ cụ thể khác đánh vào các mặt hàng như thuốc lá và “các mặt hàng có tính chiến lược” như gạo và đường nhằm “chống lại sự dao động giá cả quốc tế”.</w:t>
      </w:r>
    </w:p>
    <w:p w14:paraId="5131E65E"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Việc Bê-nanh ban hành biểu thuế đối ngoại chung đã xoá bỏ rất nhiều rào cản thuế quan. Tuy nhiên, thủ tục hải quan kém hiệu quả và tham nhũng vẫn làm cho việc nhập hàng hoá bằng đường biển, đường hàng không hoặc đường bộ mất nhiều chi phí và thời gian. Mặc dù về mặt lý thuyết có kho ngoại quan cho các lô hàng tới nhưng trên thực tiễn rất khó có thể đạt được qui chế này.</w:t>
      </w:r>
    </w:p>
    <w:p w14:paraId="025F931F"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Trung Tâm Bê-nanh về Tiêu chuẩn hoá và Quản lý chất lượng (viết tắt là CEBENOR) được mở cửa từ tháng 7/2000 nhằm nâng cao chất lượng hàng hoá sản xuất nội địa. Trung tâm có thẩm quyền phê chuẩn và phổ biến các tiêu chuẩn GOB cho tất cả các loại hàng hoá và dịch vụ. CEBENOR cũng tham gia vào việc chứng nhận chất lượng sản phẩm của doanh nghiệp và hỗ trợ để đạt được giấy chứng nhận phù hợp với tiêu chuẩn đề ra. Địa chỉ của Trung tâm là:</w:t>
      </w:r>
    </w:p>
    <w:p w14:paraId="279BC01D"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lang w:val="pt-BR" w:eastAsia="vi-VN"/>
        </w:rPr>
        <w:t>Adresse: Boulevard du Canada (Vons de la pharmacie Vodje)</w:t>
      </w:r>
    </w:p>
    <w:p w14:paraId="1D25E6B1"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lang w:val="pt-BR" w:eastAsia="vi-VN"/>
        </w:rPr>
        <w:t>01 BP 363, Cotonou, Benin</w:t>
      </w:r>
    </w:p>
    <w:p w14:paraId="520FC9B9"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lang w:val="pt-BR" w:eastAsia="vi-VN"/>
        </w:rPr>
        <w:t>Tel: (229) 30-74-45/46/47</w:t>
      </w:r>
    </w:p>
    <w:p w14:paraId="42BAAB9A"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lang w:val="pt-BR" w:eastAsia="vi-VN"/>
        </w:rPr>
        <w:t>Fax: (229) 30-30-24/30-13-85</w:t>
      </w:r>
    </w:p>
    <w:p w14:paraId="0E561448"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 </w:t>
      </w:r>
    </w:p>
    <w:p w14:paraId="1754BFC3"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1. Mở của đối với đầu tư nước ngoài</w:t>
      </w:r>
    </w:p>
    <w:p w14:paraId="294D58C2"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Luật Bê-nanh bảo đảm quyền sở hữu và chuyển giao tài sản tư nhân. Chính phủ Bê-nanh tạo điều kiện và khuyến khích đầu tư nước ngoài.</w:t>
      </w:r>
    </w:p>
    <w:p w14:paraId="1752D7CE"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Có nhiều cơ hội cho đầu tư nước ngoài gắn liền với việc tư hữu hoá các doanh nghiệp thuộc sở hữu Nhà nước, con số các doanh nghiệp này đã giảm từ 130 trong năm 1980 xuống còn 27 vào năm 1999. Kế hoạch nhằm tư nhân hoá các tổng công ty, đặc biệt là Nhà máy Chế biến Bông do Chính phủ làm chủ và Công ty điện nước (viết tắt là BEE) vẫn bị trì hoãn. Chính Phủ đề nghị các công dân Bê-nanh tham gia sở hữu một phần các công ty tư hữu hoá này.</w:t>
      </w:r>
    </w:p>
    <w:p w14:paraId="602DBEB2"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Ngân hàng Thế giới và các ngân hàng phát triển quốc tế cấp vốn cho rất nhiều hợp đồng cải tạo cơ sở hạ tầng của Bê-nanh bằng các khoản vay hoặc tín dụng. Một vài hợp đồng lớn đã được ký kết trong khi các dự án vẫn còn bỏ ngỏ. Luật đầu tư hiện hành đưa ra các điều kiện để giành được những ưu đãi theo các cơ chế đầu tư khác và trao quyền tự do duy nhất cho Ủy ban Giám sát Đầu tư của Bộ Công nghiệp.</w:t>
      </w:r>
    </w:p>
    <w:p w14:paraId="55F989BB"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 xml:space="preserve">Luật Đầu tư 1990 được thông qua nhằm thiết lập một hệ thống đơn giản hoá và dễ dàng tiếp cận đối với tất cả các nhà đầu tư. Trong những năm gần đây, Chính phủ thành lập cơ chế “một cửa” có trụ sở đặt tại Bộ Thương mại để giúp loại bỏ các thủ tục tốn kém thời gian và không </w:t>
      </w:r>
      <w:r w:rsidRPr="00194E48">
        <w:rPr>
          <w:rFonts w:asciiTheme="majorHAnsi" w:eastAsia="Times New Roman" w:hAnsiTheme="majorHAnsi" w:cstheme="majorHAnsi"/>
          <w:color w:val="000000"/>
          <w:sz w:val="24"/>
          <w:szCs w:val="24"/>
          <w:lang w:val="pt-BR" w:eastAsia="vi-VN"/>
        </w:rPr>
        <w:lastRenderedPageBreak/>
        <w:t>cần thiết mà các nhà đầu tư gặp phải. Rất nhiều các nhà đầu tư phàn nàn Bộ luật đầu tư khó thực thi, tuy vậy, một phần cũng vì tệ nạn tham nhũng và bộ máy hoạt động không hiệu quả.</w:t>
      </w:r>
    </w:p>
    <w:p w14:paraId="6125A752"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Chính phủ Bê-nanh thành lập Trung Tâm Đăng ký Kinh doanh tại trụ sở chính ở Cotonou của Phòng Thương mại và Công nghiệp Benin (CCIB) nhằm tạo điều kiện thuận lợi cho việc đăng ký kinh doanh của các công ty mới. Nhờ có Trung tâm này, có thể giúp đăng ký công ty mới trong vòng 10 ngày.</w:t>
      </w:r>
    </w:p>
    <w:p w14:paraId="7C90CD33"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2. Chuyển đổi tiền tệ và Chính sách chuyển tiền</w:t>
      </w:r>
    </w:p>
    <w:p w14:paraId="5A1D2A9E"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Bê-nanh là thành viên của Liên minh Kinh tế và Tiền tệ Tây Phi. Đồng tiền tệ của Bê-nanh là đồng franc CFA (franc châu Phi), do Ngân Hàng Trung ương của các quốc gia Tây Phi ban hành. Nhằm thúc đầy sự phục hồi kinh tế, Bê-nanh đã thực thi sửa đổi đối với tỷ giá ngoại hối và do đó mà đồng franc CFA bị mất giá 50% vào ngày 11/1/1994. 1 USD tương đương với khoảng 640 CFA (tỷ giá vào tháng 7/2002). Hệ thống chuyển đổi không đưa ra hạn chế nào đối với các giao dịch chuyển tiền. Đồng CFA chịu những ảnh hưởng nhất định của đồng EURO.</w:t>
      </w:r>
    </w:p>
    <w:p w14:paraId="2BF8CA70"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3. Giải quyết tranh chấp</w:t>
      </w:r>
    </w:p>
    <w:p w14:paraId="027AF8C4"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Việc giải quyết tranh chấp do vi phạm hợp đồng, thực hiện hợp đồng, khiếu nại, sở hữu đất đai và các vấn đề liên quan khác thuộc phạm vi xét xử của toà dân sự. Không có hệ thống toà thương mại xét xử chuyên biệt. Thêm nữa, không có cơ chế phù hợp để công bố quyết định của Toà án đưa ra. Sự quá tải của các vụ dân sự làm cho vụ việc phải chờ đợi mất 1-2 năm trước khi được đưa ra toà xét xử. Trong những năm gần đây, thẩm phán cũng đã cố gắng thể hiện tính độc lập của mình, không bị tác động do có sự can thiệp của chính phủ.</w:t>
      </w:r>
    </w:p>
    <w:p w14:paraId="42A63505"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Tuy nhiên, nạn tham nhũng vẫn là trở ngại chính đối với cơ quan tư pháp. Các doanh nghiệp và những người khởi kiện vẫn than phiền vì tham nhũng vẫn tràn lan tại các toà sơ thẩm cũng như tại các phiên xét xử hành chính.</w:t>
      </w:r>
    </w:p>
    <w:p w14:paraId="7D4CD509"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4. Quyền sở hữu và đầu tư</w:t>
      </w:r>
    </w:p>
    <w:p w14:paraId="0795B169"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Quyền sở hữu và đầu tư tồn tại về mặt lý thuyết lẫn thực tiễn. Luật Bê-nanh đảm bảo quyền tự do buôn bán, tự do lựa chọn khách hàng và nhà cung cấp, quyền tự do di chuyển trong quốc gia, quyền của người lao động nước ngoài và gia đình thành viên của họ rời khỏi quốc gia, chính phủ không can thiệp vào việc quản lý các công ty tư nhân.</w:t>
      </w:r>
    </w:p>
    <w:p w14:paraId="14C3B56E"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5. Tính minh bạch trong Hệ thống luật pháp</w:t>
      </w:r>
    </w:p>
    <w:p w14:paraId="3313FDDA"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Mặc dù chính phủ thông qua hệ thống chính sách minh bạch nhằm tạo điều kiện thuận lợi cho các doanh nghiệp nhưng nạn quan liêu giấy tờ vẫn là mối lo ngại chính. Hầu hết các qui chế thương mại của Bê-nanh là những luật để lại từ thời kỳ thuộc Pháp được ban hành ở Pháp vào giữa năm 1807 và 1960 (năm Bê-nanh giành độc lập). Những đạo luật này chiếm một khối lượng giấy tờ quá lớn và đã được các bộ trưởng phê chuẩn. Các đạo luật đó cũng cản trở đến việc hướng tới chính sách “một cửa” (one-stop-shop), đồng thời tạo điều kiện cho việc tham nhũng. Vào đầu những năm 90, chính phủ ban hành một loạt các cuộc cải cách nhằm hiện đại hoá các qui chế thương mại. Tuy nhiên, vẫn còn nhiều qui định của luật lao động là sự chuyển tiếp từ thời kỳ mác-xít và đang gây cản trở cho các doanh nghiệp tư nhân, mặc dù đã có những sửa đổi bộ luật lao động vào năm 1998.</w:t>
      </w:r>
    </w:p>
    <w:p w14:paraId="20FE5336"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494949"/>
          <w:sz w:val="24"/>
          <w:szCs w:val="24"/>
          <w:lang w:val="pt-BR" w:eastAsia="vi-VN"/>
        </w:rPr>
        <w:t>6. Các Hiệp định đầu tư Song phương</w:t>
      </w:r>
    </w:p>
    <w:p w14:paraId="57CB0F3D"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Bê-nanh ký hiệp định đầu tư song phương (BIT) với Pháp. Và để bảo hộ đầu tư, Bê-nanh cũng đã ký kết các hiệp định với một số nước Châu Âu, bao gồm:</w:t>
      </w:r>
    </w:p>
    <w:p w14:paraId="24148216"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Với Đức, vào ngày 10/10/1993, Hiệp định liên quan tới Khuyến khích và bảo hộ đầu tư.</w:t>
      </w:r>
    </w:p>
    <w:p w14:paraId="41CF4130"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Với Anh Quốc vào ngày 27/11/1987, Hiệp định Bảo hộ Đầu tư của Anh tại Bê-nanh</w:t>
      </w:r>
    </w:p>
    <w:p w14:paraId="470494F2"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Bê-nanh cũng là quốc gia thành viên trong các hiệp định đa phương về bảo hộ đầu tư, bao gồm Hiệp Định Cơ quan Bảo mật Đa phương và Công ước về Giải quyết tranh chấp đầu tư quốc tế.</w:t>
      </w:r>
    </w:p>
    <w:p w14:paraId="15D2DED5"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pt-BR" w:eastAsia="vi-VN"/>
        </w:rPr>
        <w:t>7. OPIC và các Chương trình Bảo hiểm Đầu tư khác:</w:t>
      </w:r>
    </w:p>
    <w:p w14:paraId="55BB5FD4" w14:textId="77777777" w:rsidR="00194E48" w:rsidRPr="00194E48" w:rsidRDefault="00194E48" w:rsidP="00194E48">
      <w:pPr>
        <w:spacing w:after="0" w:line="240" w:lineRule="auto"/>
        <w:ind w:right="90"/>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lastRenderedPageBreak/>
        <w:t>Tổ chức Đầu tư Tư nhân Nước ngoài (OPIC) đưa ra các chương trình tài chính nhằm giúp các công ty mong muốn đầu tư vào các nước phát triển trong đó có Bê-nanh. Phụ thuộc vào nội dung và qui mô đầu tư của các công ty đầu tư ở Bê-nanh mà các công ty này có thể nhận được bảo hiểm OPIC. Để biết thêm chi tiết, các nhà đầu tư có tiềm năng cần liên hệ với OPIC theo địa chỉ </w:t>
      </w:r>
      <w:hyperlink r:id="rId5" w:history="1">
        <w:r w:rsidRPr="00194E48">
          <w:rPr>
            <w:rFonts w:asciiTheme="majorHAnsi" w:eastAsia="Times New Roman" w:hAnsiTheme="majorHAnsi" w:cstheme="majorHAnsi"/>
            <w:color w:val="333333"/>
            <w:sz w:val="24"/>
            <w:szCs w:val="24"/>
            <w:u w:val="single"/>
            <w:lang w:val="pt-BR" w:eastAsia="vi-VN"/>
          </w:rPr>
          <w:t>info@opic.gov</w:t>
        </w:r>
      </w:hyperlink>
      <w:r w:rsidRPr="00194E48">
        <w:rPr>
          <w:rFonts w:asciiTheme="majorHAnsi" w:eastAsia="Times New Roman" w:hAnsiTheme="majorHAnsi" w:cstheme="majorHAnsi"/>
          <w:color w:val="000000"/>
          <w:sz w:val="24"/>
          <w:szCs w:val="24"/>
          <w:lang w:val="pt-BR" w:eastAsia="vi-VN"/>
        </w:rPr>
        <w:t>.</w:t>
      </w:r>
    </w:p>
    <w:p w14:paraId="105828A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0" w:name="_Toc413643338"/>
      <w:bookmarkEnd w:id="0"/>
      <w:r w:rsidRPr="00194E48">
        <w:rPr>
          <w:rFonts w:asciiTheme="majorHAnsi" w:eastAsia="Times New Roman" w:hAnsiTheme="majorHAnsi" w:cstheme="majorHAnsi"/>
          <w:b/>
          <w:bCs/>
          <w:i/>
          <w:iCs/>
          <w:color w:val="000000"/>
          <w:sz w:val="24"/>
          <w:szCs w:val="24"/>
          <w:lang w:val="pt-BR" w:eastAsia="vi-VN"/>
        </w:rPr>
        <w:t>8.</w:t>
      </w:r>
      <w:r w:rsidRPr="00194E48">
        <w:rPr>
          <w:rFonts w:asciiTheme="majorHAnsi" w:eastAsia="Times New Roman" w:hAnsiTheme="majorHAnsi" w:cstheme="majorHAnsi"/>
          <w:color w:val="000000"/>
          <w:sz w:val="24"/>
          <w:szCs w:val="24"/>
          <w:lang w:val="pt-BR" w:eastAsia="vi-VN"/>
        </w:rPr>
        <w:t> </w:t>
      </w:r>
      <w:r w:rsidRPr="00194E48">
        <w:rPr>
          <w:rFonts w:asciiTheme="majorHAnsi" w:eastAsia="Times New Roman" w:hAnsiTheme="majorHAnsi" w:cstheme="majorHAnsi"/>
          <w:b/>
          <w:bCs/>
          <w:i/>
          <w:iCs/>
          <w:color w:val="000000"/>
          <w:sz w:val="24"/>
          <w:szCs w:val="24"/>
          <w:lang w:val="pt-BR" w:eastAsia="vi-VN"/>
        </w:rPr>
        <w:t>Khung pháp lý cho quan hệ thương mại</w:t>
      </w:r>
    </w:p>
    <w:p w14:paraId="211D3477"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Ngoài một số các hiệp định đã ký với các nước trên thế giới, Bê-nanh cũng là thành viên của các tổ chức quốc tế sau đây:</w:t>
      </w:r>
    </w:p>
    <w:p w14:paraId="787274DF"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Tổ chức Thương mại Thế giới (WTO)</w:t>
      </w:r>
    </w:p>
    <w:p w14:paraId="59FA7F54"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Tổ chức Liên Hiệp Quốc (UNO) và các cơ quan chuyên trách.</w:t>
      </w:r>
    </w:p>
    <w:p w14:paraId="79F39E24"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Tổ chức Thống nhất Châu Phi (OAU)</w:t>
      </w:r>
    </w:p>
    <w:p w14:paraId="1206C91C"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Tổ chức Hội nghị Đạo hồi (OIC)</w:t>
      </w:r>
    </w:p>
    <w:p w14:paraId="295DFEBB"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Cộng đồng Kinh tế các quốc gia Châu Phi (ECOWAS)</w:t>
      </w:r>
    </w:p>
    <w:p w14:paraId="16021152" w14:textId="77777777" w:rsidR="00194E48" w:rsidRPr="00194E48" w:rsidRDefault="00194E48" w:rsidP="00194E48">
      <w:pPr>
        <w:numPr>
          <w:ilvl w:val="0"/>
          <w:numId w:val="1"/>
        </w:numPr>
        <w:spacing w:after="0" w:line="240" w:lineRule="auto"/>
        <w:ind w:left="1080" w:right="360"/>
        <w:jc w:val="both"/>
        <w:rPr>
          <w:rFonts w:asciiTheme="majorHAnsi" w:eastAsia="Times New Roman" w:hAnsiTheme="majorHAnsi" w:cstheme="majorHAnsi"/>
          <w:color w:val="000000"/>
          <w:sz w:val="24"/>
          <w:szCs w:val="24"/>
          <w:lang w:eastAsia="vi-VN"/>
        </w:rPr>
      </w:pPr>
      <w:r w:rsidRPr="00194E48">
        <w:rPr>
          <w:rFonts w:asciiTheme="majorHAnsi" w:eastAsia="Times New Roman" w:hAnsiTheme="majorHAnsi" w:cstheme="majorHAnsi"/>
          <w:color w:val="000000"/>
          <w:sz w:val="24"/>
          <w:szCs w:val="24"/>
          <w:lang w:val="pt-BR" w:eastAsia="vi-VN"/>
        </w:rPr>
        <w:t>Liên minh Kinh tế và Tiền tệ Tây Phi (UEMOA)</w:t>
      </w:r>
    </w:p>
    <w:p w14:paraId="685F31E8"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u w:val="single"/>
          <w:lang w:val="pt-BR" w:eastAsia="vi-VN"/>
        </w:rPr>
        <w:br/>
      </w:r>
      <w:bookmarkStart w:id="1" w:name="_Toc413643343"/>
      <w:bookmarkEnd w:id="1"/>
      <w:r w:rsidRPr="00194E48">
        <w:rPr>
          <w:rFonts w:asciiTheme="majorHAnsi" w:eastAsia="Times New Roman" w:hAnsiTheme="majorHAnsi" w:cstheme="majorHAnsi"/>
          <w:b/>
          <w:bCs/>
          <w:color w:val="000000"/>
          <w:sz w:val="24"/>
          <w:szCs w:val="24"/>
          <w:u w:val="single"/>
          <w:lang w:val="pt-BR" w:eastAsia="vi-VN"/>
        </w:rPr>
        <w:t>II. QUẢN LÝ HOẠT ĐỘNG NGOẠI THƯƠNG</w:t>
      </w:r>
    </w:p>
    <w:p w14:paraId="270A773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Nằm trong khuôn khổ các biện pháp thúc đẩy ngoại thương, Bê-nanh tự do hoá hoạt động ngoại thương của mình.</w:t>
      </w:r>
    </w:p>
    <w:p w14:paraId="578B211C"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pt-BR" w:eastAsia="vi-VN"/>
        </w:rPr>
        <w:t> </w:t>
      </w:r>
    </w:p>
    <w:p w14:paraId="0F82239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2" w:name="_Toc413643344"/>
      <w:bookmarkEnd w:id="2"/>
      <w:r w:rsidRPr="00194E48">
        <w:rPr>
          <w:rFonts w:asciiTheme="majorHAnsi" w:eastAsia="Times New Roman" w:hAnsiTheme="majorHAnsi" w:cstheme="majorHAnsi"/>
          <w:b/>
          <w:bCs/>
          <w:i/>
          <w:iCs/>
          <w:color w:val="000000"/>
          <w:sz w:val="24"/>
          <w:szCs w:val="24"/>
          <w:lang w:val="fr-FR" w:eastAsia="vi-VN"/>
        </w:rPr>
        <w:t>1.Các qui chế nhập khẩu:</w:t>
      </w:r>
    </w:p>
    <w:p w14:paraId="0E9CFBDB"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Chỉ có các sản phẩm sau đây bị cấm nhập khẩu: Sản phẩm ảnh hưởng đến đạo đức xã hội, nền kinh tế quốc gia, sức khoẻ và tuổi thọ con người, động vật, cây trồng và văn hoá.</w:t>
      </w:r>
    </w:p>
    <w:p w14:paraId="3776AE6A"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Các yêu cầu về chứng từ nhập khẩu, bao gồm:</w:t>
      </w:r>
    </w:p>
    <w:p w14:paraId="5F0DF8A4"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fr-FR" w:eastAsia="vi-VN"/>
        </w:rPr>
        <w:t>Hoá đơn thương mại</w:t>
      </w:r>
      <w:r w:rsidRPr="00194E48">
        <w:rPr>
          <w:rFonts w:asciiTheme="majorHAnsi" w:eastAsia="Times New Roman" w:hAnsiTheme="majorHAnsi" w:cstheme="majorHAnsi"/>
          <w:color w:val="000000"/>
          <w:sz w:val="24"/>
          <w:szCs w:val="24"/>
          <w:lang w:val="fr-FR" w:eastAsia="vi-VN"/>
        </w:rPr>
        <w:t>: Hai bản hoá đơn thương mại, bao gồm tên của nhà xuất khẩu và lô hàng, số hiệu và chủng loại bao bì đóng gói, nhãn mác và số hiệu trên bao bì, trọng lượng cả bì, giá CIF, các điều khoản mua bán và mô tả hàng hoá.</w:t>
      </w:r>
    </w:p>
    <w:p w14:paraId="36088724"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fr-FR" w:eastAsia="vi-VN"/>
        </w:rPr>
        <w:t>Giấy chứng nhận xuất xứ:</w:t>
      </w:r>
      <w:r w:rsidRPr="00194E48">
        <w:rPr>
          <w:rFonts w:asciiTheme="majorHAnsi" w:eastAsia="Times New Roman" w:hAnsiTheme="majorHAnsi" w:cstheme="majorHAnsi"/>
          <w:color w:val="000000"/>
          <w:sz w:val="24"/>
          <w:szCs w:val="24"/>
          <w:lang w:val="fr-FR" w:eastAsia="vi-VN"/>
        </w:rPr>
        <w:t> Hai bản giấy chứng nhận xuất xứ do Phòng Thương mại chứng thực</w:t>
      </w:r>
    </w:p>
    <w:p w14:paraId="00354893"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fr-FR" w:eastAsia="vi-VN"/>
        </w:rPr>
        <w:t>Phiếu đóng gói</w:t>
      </w:r>
      <w:r w:rsidRPr="00194E48">
        <w:rPr>
          <w:rFonts w:asciiTheme="majorHAnsi" w:eastAsia="Times New Roman" w:hAnsiTheme="majorHAnsi" w:cstheme="majorHAnsi"/>
          <w:i/>
          <w:iCs/>
          <w:color w:val="000000"/>
          <w:sz w:val="24"/>
          <w:szCs w:val="24"/>
          <w:lang w:val="fr-FR" w:eastAsia="vi-VN"/>
        </w:rPr>
        <w:t>:</w:t>
      </w:r>
      <w:r w:rsidRPr="00194E48">
        <w:rPr>
          <w:rFonts w:asciiTheme="majorHAnsi" w:eastAsia="Times New Roman" w:hAnsiTheme="majorHAnsi" w:cstheme="majorHAnsi"/>
          <w:color w:val="000000"/>
          <w:sz w:val="24"/>
          <w:szCs w:val="24"/>
          <w:lang w:val="fr-FR" w:eastAsia="vi-VN"/>
        </w:rPr>
        <w:t> Phải có Phiếu đóng gói để thông quan hải quan</w:t>
      </w:r>
    </w:p>
    <w:p w14:paraId="172DD06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fr-FR" w:eastAsia="vi-VN"/>
        </w:rPr>
        <w:t>Vận đơn:</w:t>
      </w:r>
      <w:r w:rsidRPr="00194E48">
        <w:rPr>
          <w:rFonts w:asciiTheme="majorHAnsi" w:eastAsia="Times New Roman" w:hAnsiTheme="majorHAnsi" w:cstheme="majorHAnsi"/>
          <w:color w:val="000000"/>
          <w:sz w:val="24"/>
          <w:szCs w:val="24"/>
          <w:lang w:val="fr-FR" w:eastAsia="vi-VN"/>
        </w:rPr>
        <w:t> Vận đơn phải chỉ rõ tên của nhà chuyên chở, tên và địa chỉ của người nhận hàng, cảng đến, mô tả hàng hoá, liệt kê việc chuyên chở và các khoản phí khác, số vận đơn trong một bộ đầy đủ và chữ ký của nhà chuyên chở</w:t>
      </w:r>
    </w:p>
    <w:p w14:paraId="539FA35B"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fr-FR" w:eastAsia="vi-VN"/>
        </w:rPr>
        <w:t>Hai bản hoá đơn ghi hàng:</w:t>
      </w:r>
      <w:r w:rsidRPr="00194E48">
        <w:rPr>
          <w:rFonts w:asciiTheme="majorHAnsi" w:eastAsia="Times New Roman" w:hAnsiTheme="majorHAnsi" w:cstheme="majorHAnsi"/>
          <w:b/>
          <w:bCs/>
          <w:color w:val="000000"/>
          <w:sz w:val="24"/>
          <w:szCs w:val="24"/>
          <w:lang w:val="fr-FR" w:eastAsia="vi-VN"/>
        </w:rPr>
        <w:t> </w:t>
      </w:r>
      <w:r w:rsidRPr="00194E48">
        <w:rPr>
          <w:rFonts w:asciiTheme="majorHAnsi" w:eastAsia="Times New Roman" w:hAnsiTheme="majorHAnsi" w:cstheme="majorHAnsi"/>
          <w:color w:val="000000"/>
          <w:sz w:val="24"/>
          <w:szCs w:val="24"/>
          <w:lang w:val="fr-FR" w:eastAsia="vi-VN"/>
        </w:rPr>
        <w:t>Buộc phải có để lấy giấy phép nhập khẩu. Các hoá đơn này phải được chứng thực và ghi rõ giá CIF và FOB.</w:t>
      </w:r>
    </w:p>
    <w:p w14:paraId="2E4AAFE9"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3" w:name="_Toc413643345"/>
      <w:bookmarkEnd w:id="3"/>
      <w:r w:rsidRPr="00194E48">
        <w:rPr>
          <w:rFonts w:asciiTheme="majorHAnsi" w:eastAsia="Times New Roman" w:hAnsiTheme="majorHAnsi" w:cstheme="majorHAnsi"/>
          <w:b/>
          <w:bCs/>
          <w:i/>
          <w:iCs/>
          <w:color w:val="000000"/>
          <w:sz w:val="24"/>
          <w:szCs w:val="24"/>
          <w:lang w:val="fr-FR" w:eastAsia="vi-VN"/>
        </w:rPr>
        <w:t>2. Qui chế xuất khẩu</w:t>
      </w:r>
    </w:p>
    <w:p w14:paraId="024B3F23"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Hàng hoá được tự do xuất khẩu ở Cộng Hoà Bê-nanh.</w:t>
      </w:r>
    </w:p>
    <w:p w14:paraId="1BC1CBC1"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Cần phải có giấy phép từ Sở Ngoại thương. Bộ Tài chính phải đứng ra bảo lãnh xuất khẩu vàng và kim cương hoặc bất cứ kim loại hay đá quí nào khác. Biện pháp này không áp dụng cho các hoạt động sau:</w:t>
      </w:r>
    </w:p>
    <w:p w14:paraId="74B25AC4"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Hàng xuất khẩu có chứa lượng vàng không đáng kể.</w:t>
      </w:r>
    </w:p>
    <w:p w14:paraId="7951161F"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Đồ trang sức cá nhân không vượt quá 500gr.</w:t>
      </w:r>
    </w:p>
    <w:p w14:paraId="36CAAC75"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Hàng hoá nhập khẩu là cây trồng và động vật phải đi kèm với giấy chứng nhận y tế.</w:t>
      </w:r>
    </w:p>
    <w:p w14:paraId="1846CE76"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4" w:name="_Toc413643346"/>
      <w:bookmarkEnd w:id="4"/>
      <w:r w:rsidRPr="00194E48">
        <w:rPr>
          <w:rFonts w:asciiTheme="majorHAnsi" w:eastAsia="Times New Roman" w:hAnsiTheme="majorHAnsi" w:cstheme="majorHAnsi"/>
          <w:b/>
          <w:bCs/>
          <w:i/>
          <w:iCs/>
          <w:color w:val="000000"/>
          <w:sz w:val="24"/>
          <w:szCs w:val="24"/>
          <w:lang w:val="fr-FR" w:eastAsia="vi-VN"/>
        </w:rPr>
        <w:t>3.Các chứng từ và thủ tục khác.</w:t>
      </w:r>
    </w:p>
    <w:p w14:paraId="6F6B430E"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Giấy phép nhập khẩu đã được bãi bỏ tại Bê-nanh. Tuy vậy, vẫn phải kê khai hải quan. Hàng hoá định nhập vào Bê-nanh phải được giám định trước khi gửi hàng về số lượng, chất lượng và giá cả.</w:t>
      </w:r>
    </w:p>
    <w:p w14:paraId="00F86727"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Phải định vị nơi cho các hoạt động xuất khẩu và nhập khẩu. Các sản phẩm xuất khẩu tới Bê-nanh phải đáp ứng các yêu cầu về tiêu chuẩn quốc tế và sản phẩm phải được dán nhãn bằng tiếng Pháp, có mác và được đóng gói phù hợp.</w:t>
      </w:r>
    </w:p>
    <w:p w14:paraId="5499E868"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5" w:name="_Toc413643347"/>
      <w:bookmarkEnd w:id="5"/>
      <w:r w:rsidRPr="00194E48">
        <w:rPr>
          <w:rFonts w:asciiTheme="majorHAnsi" w:eastAsia="Times New Roman" w:hAnsiTheme="majorHAnsi" w:cstheme="majorHAnsi"/>
          <w:b/>
          <w:bCs/>
          <w:color w:val="000000"/>
          <w:sz w:val="24"/>
          <w:szCs w:val="24"/>
          <w:lang w:val="fr-FR" w:eastAsia="vi-VN"/>
        </w:rPr>
        <w:t> </w:t>
      </w:r>
    </w:p>
    <w:p w14:paraId="2F75C23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u w:val="single"/>
          <w:lang w:val="fr-FR" w:eastAsia="vi-VN"/>
        </w:rPr>
        <w:lastRenderedPageBreak/>
        <w:t>III. CÁC QUI CHẾ TÀI CHÍNH TRONG HOẠT ĐỘNG NGOẠI THƯƠNG</w:t>
      </w:r>
    </w:p>
    <w:p w14:paraId="53A779A9"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6" w:name="_Toc413643348"/>
      <w:bookmarkEnd w:id="6"/>
      <w:r w:rsidRPr="00194E48">
        <w:rPr>
          <w:rFonts w:asciiTheme="majorHAnsi" w:eastAsia="Times New Roman" w:hAnsiTheme="majorHAnsi" w:cstheme="majorHAnsi"/>
          <w:b/>
          <w:bCs/>
          <w:i/>
          <w:iCs/>
          <w:color w:val="000000"/>
          <w:sz w:val="24"/>
          <w:szCs w:val="24"/>
          <w:lang w:val="fr-FR" w:eastAsia="vi-VN"/>
        </w:rPr>
        <w:t>1. Hệ thống ngân hàng</w:t>
      </w:r>
    </w:p>
    <w:p w14:paraId="5AF33A82"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Ngân hàng Trung ương các Quốc gia Tây Phi (Banque Centrale des Etats de l’Afrique de l’Ouest -BCEAO) có trách nhiệm tương tự như Ngân hàng Trung ương của Bê-nanh khi các giao dịch được thực hiện giữa nước này và các quốc gia UEMOA.</w:t>
      </w:r>
    </w:p>
    <w:p w14:paraId="40187F91"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Các ngân hàng hoạt động khá tốt tại Bê-nanh. Đó là các ngân hàng: Ngân hàng Tài chính, Ngân hàng Bê-nanh-Châu Phi (Bank of Africa-Benin (BOA-B), Ecobank Benin SA, Banque Internationale du Benin (BIBE), Crédit Lyonnais Benin.</w:t>
      </w:r>
    </w:p>
    <w:p w14:paraId="06E2BE9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Các nhà điều hành kinh tế đang kiến nghị chính phủ Bê-nanh thành lập ngân hàng phát triển.</w:t>
      </w:r>
    </w:p>
    <w:p w14:paraId="43B54878"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7" w:name="_Toc413643349"/>
      <w:bookmarkEnd w:id="7"/>
      <w:r w:rsidRPr="00194E48">
        <w:rPr>
          <w:rFonts w:asciiTheme="majorHAnsi" w:eastAsia="Times New Roman" w:hAnsiTheme="majorHAnsi" w:cstheme="majorHAnsi"/>
          <w:b/>
          <w:bCs/>
          <w:i/>
          <w:iCs/>
          <w:color w:val="000000"/>
          <w:sz w:val="24"/>
          <w:szCs w:val="24"/>
          <w:lang w:val="fr-FR" w:eastAsia="vi-VN"/>
        </w:rPr>
        <w:t>2. Hệ thống ngoại hối</w:t>
      </w:r>
    </w:p>
    <w:p w14:paraId="1CA9F93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Kể từ 02/08/1993, việc chuyển đổi đồng CFAF bên ngoài khu vực sử dụng đồng Franc CFA bị tạm ngừng. Tuy vậy, biện pháp này không ảnh hưởng đến nguyên tắc về tự do giao dịch chuyển tiền và việc chuyển đổi đồng CFAF được bảo đảm qua việc cộng tác với Pháp.</w:t>
      </w:r>
    </w:p>
    <w:p w14:paraId="3FCB643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8" w:name="_Toc413643350"/>
      <w:bookmarkEnd w:id="8"/>
      <w:r w:rsidRPr="00194E48">
        <w:rPr>
          <w:rFonts w:asciiTheme="majorHAnsi" w:eastAsia="Times New Roman" w:hAnsiTheme="majorHAnsi" w:cstheme="majorHAnsi"/>
          <w:b/>
          <w:bCs/>
          <w:i/>
          <w:iCs/>
          <w:color w:val="000000"/>
          <w:sz w:val="24"/>
          <w:szCs w:val="24"/>
          <w:lang w:val="fr-FR" w:eastAsia="vi-VN"/>
        </w:rPr>
        <w:t>3. Các phương thức giải quyết tranh chấp quốc tế</w:t>
      </w:r>
    </w:p>
    <w:p w14:paraId="78D15225"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Tất cả các phương thức đều được áp dụng ở Bê-nanh. Các phương thức được áp dụng do các bên tự quyết định.</w:t>
      </w:r>
    </w:p>
    <w:p w14:paraId="11495B6B"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Phương thức thanh toán trong các giao dịch thương mại được tiến hành qua các ngân hàng giao dịch ở Pháp theo đồng tiền của nhà xuất khẩu. Nếu tổng giá trị vượt quá 500,000 CFA thì phải được thanh toán qua ngân hàng trung gian được uỷ quyền hợp pháp.</w:t>
      </w:r>
    </w:p>
    <w:p w14:paraId="4644C2A8"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fr-FR" w:eastAsia="vi-VN"/>
        </w:rPr>
        <w:t> </w:t>
      </w:r>
    </w:p>
    <w:p w14:paraId="56EC7601"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9" w:name="_Toc413643351"/>
      <w:bookmarkEnd w:id="9"/>
      <w:r w:rsidRPr="00194E48">
        <w:rPr>
          <w:rFonts w:asciiTheme="majorHAnsi" w:eastAsia="Times New Roman" w:hAnsiTheme="majorHAnsi" w:cstheme="majorHAnsi"/>
          <w:b/>
          <w:bCs/>
          <w:color w:val="000000"/>
          <w:sz w:val="24"/>
          <w:szCs w:val="24"/>
          <w:u w:val="single"/>
          <w:lang w:eastAsia="vi-VN"/>
        </w:rPr>
        <w:t>IV. THUẾ QUAN</w:t>
      </w:r>
    </w:p>
    <w:p w14:paraId="4877EF7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eastAsia="vi-VN"/>
        </w:rPr>
        <w:t>1.</w:t>
      </w:r>
      <w:r w:rsidRPr="00194E48">
        <w:rPr>
          <w:rFonts w:asciiTheme="majorHAnsi" w:eastAsia="Times New Roman" w:hAnsiTheme="majorHAnsi" w:cstheme="majorHAnsi"/>
          <w:i/>
          <w:iCs/>
          <w:color w:val="000000"/>
          <w:sz w:val="24"/>
          <w:szCs w:val="24"/>
          <w:lang w:eastAsia="vi-VN"/>
        </w:rPr>
        <w:t> </w:t>
      </w:r>
      <w:r w:rsidRPr="00194E48">
        <w:rPr>
          <w:rFonts w:asciiTheme="majorHAnsi" w:eastAsia="Times New Roman" w:hAnsiTheme="majorHAnsi" w:cstheme="majorHAnsi"/>
          <w:b/>
          <w:bCs/>
          <w:i/>
          <w:iCs/>
          <w:color w:val="000000"/>
          <w:sz w:val="24"/>
          <w:szCs w:val="24"/>
          <w:lang w:eastAsia="vi-VN"/>
        </w:rPr>
        <w:t>Các loại thuế và mức thuế áp dụng</w:t>
      </w:r>
    </w:p>
    <w:p w14:paraId="3C2964D1"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0" w:name="_Toc413643352"/>
      <w:bookmarkEnd w:id="10"/>
      <w:r w:rsidRPr="00194E48">
        <w:rPr>
          <w:rFonts w:asciiTheme="majorHAnsi" w:eastAsia="Times New Roman" w:hAnsiTheme="majorHAnsi" w:cstheme="majorHAnsi"/>
          <w:color w:val="000000"/>
          <w:sz w:val="24"/>
          <w:szCs w:val="24"/>
          <w:lang w:eastAsia="vi-VN"/>
        </w:rPr>
        <w:t>Các mức thuế áp dụng:</w:t>
      </w:r>
    </w:p>
    <w:p w14:paraId="1B0D8A8F"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0, 5, 10, 15 or 20% trên giá CIF.</w:t>
      </w:r>
    </w:p>
    <w:p w14:paraId="71894140"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Các sản phẩm từ các quốc gia UMEOA được miễn thuế nhưng phải chịu thuế tài chính và các loại thuế cụ thể khác.</w:t>
      </w:r>
    </w:p>
    <w:p w14:paraId="39992205"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Sản phẩm dầu và thực phẩm được giảm thuế cụ thể.</w:t>
      </w:r>
    </w:p>
    <w:p w14:paraId="42BAF7B4"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Các sản phẩm từ Cộng đồng Châu Âu và các quốc gia dùng đồng Franc có thể được miễn thuế.</w:t>
      </w:r>
    </w:p>
    <w:p w14:paraId="19BD7EB9"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1" w:name="_Toc413643353"/>
      <w:bookmarkEnd w:id="11"/>
      <w:r w:rsidRPr="00194E48">
        <w:rPr>
          <w:rFonts w:asciiTheme="majorHAnsi" w:eastAsia="Times New Roman" w:hAnsiTheme="majorHAnsi" w:cstheme="majorHAnsi"/>
          <w:b/>
          <w:bCs/>
          <w:i/>
          <w:iCs/>
          <w:color w:val="000000"/>
          <w:sz w:val="24"/>
          <w:szCs w:val="24"/>
          <w:lang w:eastAsia="vi-VN"/>
        </w:rPr>
        <w:t>2.Các qui định đặc biệt</w:t>
      </w:r>
    </w:p>
    <w:p w14:paraId="15B339E1"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Giảm thuế được áp dụng cho các mặt hàng dược phẩm, hàng hoá cho trường học hoặc sản phẩm công ích.</w:t>
      </w:r>
    </w:p>
    <w:p w14:paraId="17C028D5"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Các mức thuế ưu đãi được thực hiện giữa Bê-nanh với các quốc gia UEMOA, các quốc gia ACP, Hội đồng các quốc gia Entente và các quốc gia ECOWAS.</w:t>
      </w:r>
    </w:p>
    <w:p w14:paraId="41EB40C8"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Thuế phụ thu 15% sẽ áp dụng cho tất cả các sản phẩm từ các quốc gia ECOWAS.</w:t>
      </w:r>
    </w:p>
    <w:p w14:paraId="7921047B"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 </w:t>
      </w:r>
    </w:p>
    <w:p w14:paraId="02B5DBFF"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2" w:name="_Toc413643354"/>
      <w:bookmarkEnd w:id="12"/>
      <w:r w:rsidRPr="00194E48">
        <w:rPr>
          <w:rFonts w:asciiTheme="majorHAnsi" w:eastAsia="Times New Roman" w:hAnsiTheme="majorHAnsi" w:cstheme="majorHAnsi"/>
          <w:b/>
          <w:bCs/>
          <w:color w:val="000000"/>
          <w:sz w:val="24"/>
          <w:szCs w:val="24"/>
          <w:u w:val="single"/>
          <w:lang w:eastAsia="vi-VN"/>
        </w:rPr>
        <w:t>V. LOGISTIC NGOẠI THƯƠNG</w:t>
      </w:r>
    </w:p>
    <w:p w14:paraId="15C57C1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3" w:name="_Toc413643355"/>
      <w:bookmarkEnd w:id="13"/>
      <w:r w:rsidRPr="00194E48">
        <w:rPr>
          <w:rFonts w:asciiTheme="majorHAnsi" w:eastAsia="Times New Roman" w:hAnsiTheme="majorHAnsi" w:cstheme="majorHAnsi"/>
          <w:b/>
          <w:bCs/>
          <w:i/>
          <w:iCs/>
          <w:color w:val="000000"/>
          <w:sz w:val="24"/>
          <w:szCs w:val="24"/>
          <w:lang w:eastAsia="vi-VN"/>
        </w:rPr>
        <w:t>1. Giao thông quốc tế :</w:t>
      </w:r>
    </w:p>
    <w:p w14:paraId="54371A09"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Bê-nanh thực sự là một quốc gia quá cảnh cho khu vực phụ cận đối với Ni-giê-ri-a, Tô-gô và các quốc gia ở trong đất liền như Niger, Burkina Faso và Mali.</w:t>
      </w:r>
    </w:p>
    <w:p w14:paraId="60EEB045"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eastAsia="vi-VN"/>
        </w:rPr>
        <w:t>Vận tải hàng hải</w:t>
      </w:r>
      <w:r w:rsidRPr="00194E48">
        <w:rPr>
          <w:rFonts w:asciiTheme="majorHAnsi" w:eastAsia="Times New Roman" w:hAnsiTheme="majorHAnsi" w:cstheme="majorHAnsi"/>
          <w:color w:val="000000"/>
          <w:sz w:val="24"/>
          <w:szCs w:val="24"/>
          <w:lang w:eastAsia="vi-VN"/>
        </w:rPr>
        <w:t>: Bê-nanh có cảng Cotonou công suất ước đạt 2,000,000 tấn/năm. Việc khai thác cảng do một số công ty nhà nước tiến hành như: Cảng Tự quản của Cotonou (the autonomous port of Cotonou). </w:t>
      </w:r>
      <w:r w:rsidRPr="00194E48">
        <w:rPr>
          <w:rFonts w:asciiTheme="majorHAnsi" w:eastAsia="Times New Roman" w:hAnsiTheme="majorHAnsi" w:cstheme="majorHAnsi"/>
          <w:color w:val="000000"/>
          <w:sz w:val="24"/>
          <w:szCs w:val="24"/>
          <w:lang w:val="en-GB" w:eastAsia="vi-VN"/>
        </w:rPr>
        <w:t>Công ty Khai thác Cảng của Bê-nanh (Port handling Company of Benin). Công ty Hàng hải của Bê-nanh (Shipping Company of Benin) và Hội đồng các nhà chuyên chở Quốc gia của Bê-nanh (National carriers council of Benin).</w:t>
      </w:r>
    </w:p>
    <w:p w14:paraId="3FED4193"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Ngoài ra, có rất nhiều các hãng vận tải, giao nhận và các công ty quốc tế lớn khác.</w:t>
      </w:r>
    </w:p>
    <w:p w14:paraId="0BF97D92"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Một số các quốc gia nằm trong đất liền như Burkina Faso cũng cho xây dựng các kho ngoại quan của mình tại cảng Cotonou để lưu giữ hàng hoá.</w:t>
      </w:r>
    </w:p>
    <w:p w14:paraId="7D53035B"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en-GB" w:eastAsia="vi-VN"/>
        </w:rPr>
        <w:t>Giao thông đường sắt:</w:t>
      </w:r>
      <w:r w:rsidRPr="00194E48">
        <w:rPr>
          <w:rFonts w:asciiTheme="majorHAnsi" w:eastAsia="Times New Roman" w:hAnsiTheme="majorHAnsi" w:cstheme="majorHAnsi"/>
          <w:color w:val="000000"/>
          <w:sz w:val="24"/>
          <w:szCs w:val="24"/>
          <w:lang w:val="en-GB" w:eastAsia="vi-VN"/>
        </w:rPr>
        <w:t> Hệ thống đường sắt dài trên 579 km nối Cotonou với Parakou.</w:t>
      </w:r>
    </w:p>
    <w:p w14:paraId="74B4B889"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Tổ chức đường sắt Benin-Niger des Chemins de Fer (có khả năng chuyên chở 600,000 tấn/năm) đảm bảo giao thông đường sắt và đường bộ đưa hàng từ cảng Cotonou tới CH Niger.</w:t>
      </w:r>
    </w:p>
    <w:p w14:paraId="541850FC"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en-GB" w:eastAsia="vi-VN"/>
        </w:rPr>
        <w:lastRenderedPageBreak/>
        <w:t>Vận tải nội địa</w:t>
      </w:r>
      <w:r w:rsidRPr="00194E48">
        <w:rPr>
          <w:rFonts w:asciiTheme="majorHAnsi" w:eastAsia="Times New Roman" w:hAnsiTheme="majorHAnsi" w:cstheme="majorHAnsi"/>
          <w:color w:val="000000"/>
          <w:sz w:val="24"/>
          <w:szCs w:val="24"/>
          <w:lang w:val="en-GB" w:eastAsia="vi-VN"/>
        </w:rPr>
        <w:t>: Vào năm 1995, mạng lưới giao thông đường bộ của quốc gia và quốc tế được mở rộng lên tới 8460 km, trong đó 31,4% đường được rải nhựa. Công trình quan trọng này được thực hiện từ năm 1993-1996 đã giúp Bê-nanh đảm nhiệm tốt vai trò của một quốc gia quả cảnh.</w:t>
      </w:r>
    </w:p>
    <w:p w14:paraId="43E7BF12"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Các tuyến đường như vậy cũng tạo điều kiện cho việc đi lại từ Bê-nanh đến Burkina Faso và Niger một cách thuận tiện hơn.</w:t>
      </w:r>
    </w:p>
    <w:p w14:paraId="2C99E21E"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i/>
          <w:iCs/>
          <w:color w:val="000000"/>
          <w:sz w:val="24"/>
          <w:szCs w:val="24"/>
          <w:lang w:val="en-GB" w:eastAsia="vi-VN"/>
        </w:rPr>
        <w:t>Vận tải hàng không</w:t>
      </w:r>
      <w:r w:rsidRPr="00194E48">
        <w:rPr>
          <w:rFonts w:asciiTheme="majorHAnsi" w:eastAsia="Times New Roman" w:hAnsiTheme="majorHAnsi" w:cstheme="majorHAnsi"/>
          <w:color w:val="000000"/>
          <w:sz w:val="24"/>
          <w:szCs w:val="24"/>
          <w:lang w:val="en-GB" w:eastAsia="vi-VN"/>
        </w:rPr>
        <w:t>: Bê-nanh được trang bị sân bay Cotonou với tiêu chuẩn quốc tế và có thể sử dụng trong tất cả các mùa với bất cứ loại máy bay nào kể cả máy bay chở khách hàng loại lớn. Các công ty hàng không lớn trong đó có Hãng hàng không Châu Phi, Hãng hàng không Pháp, Ghana Airways, Sabena, Aero-flot, Air Gabon, Nigeria Airways, Air Cameroun đều có đại diện tại đây. Sân bay Cotonou được sử dụng cho hàng hoá quá cảnh tới một số các quốc gia Trung Phi như Trung Phi và CH Chad.</w:t>
      </w:r>
    </w:p>
    <w:p w14:paraId="268464C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 </w:t>
      </w:r>
    </w:p>
    <w:p w14:paraId="401BE663"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4" w:name="_Toc413643357"/>
      <w:bookmarkEnd w:id="14"/>
      <w:r w:rsidRPr="00194E48">
        <w:rPr>
          <w:rFonts w:asciiTheme="majorHAnsi" w:eastAsia="Times New Roman" w:hAnsiTheme="majorHAnsi" w:cstheme="majorHAnsi"/>
          <w:b/>
          <w:bCs/>
          <w:i/>
          <w:iCs/>
          <w:color w:val="000000"/>
          <w:sz w:val="24"/>
          <w:szCs w:val="24"/>
          <w:lang w:val="en-GB" w:eastAsia="vi-VN"/>
        </w:rPr>
        <w:t>2. Hệ thống phân phối</w:t>
      </w:r>
    </w:p>
    <w:p w14:paraId="09623C9C"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Các nhà bán buôn và những người buôn bán nhỏ đều đảm bảo kênh phân phối. Ở đó có các công ty lớn với cơ cấu chặt chẽ hoạt động trong lĩnh vực này.</w:t>
      </w:r>
    </w:p>
    <w:p w14:paraId="18BBDB94"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val="en-GB" w:eastAsia="vi-VN"/>
        </w:rPr>
        <w:t>Bê-nanh chịu sự cạnh tranh không bình đẳng trong khu vực phi chính thức (kinh tế ngầm) do là láng giềng của Ni-giê-ri-a.</w:t>
      </w:r>
    </w:p>
    <w:p w14:paraId="79E38B5D"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bookmarkStart w:id="15" w:name="_Toc413643358"/>
      <w:bookmarkEnd w:id="15"/>
      <w:r w:rsidRPr="00194E48">
        <w:rPr>
          <w:rFonts w:asciiTheme="majorHAnsi" w:eastAsia="Times New Roman" w:hAnsiTheme="majorHAnsi" w:cstheme="majorHAnsi"/>
          <w:b/>
          <w:bCs/>
          <w:color w:val="000000"/>
          <w:sz w:val="24"/>
          <w:szCs w:val="24"/>
          <w:lang w:val="en-GB" w:eastAsia="vi-VN"/>
        </w:rPr>
        <w:t> </w:t>
      </w:r>
    </w:p>
    <w:p w14:paraId="29665D62" w14:textId="77777777" w:rsidR="00194E48" w:rsidRPr="00194E48" w:rsidRDefault="00194E48" w:rsidP="00194E48">
      <w:pPr>
        <w:spacing w:after="0" w:line="240" w:lineRule="auto"/>
        <w:jc w:val="both"/>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u w:val="single"/>
          <w:lang w:val="en-GB" w:eastAsia="vi-VN"/>
        </w:rPr>
        <w:t>VI. CÁC ĐỊA CHỈ HỮU ÍCH:</w:t>
      </w:r>
    </w:p>
    <w:p w14:paraId="57192FF9"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b/>
          <w:bCs/>
          <w:color w:val="000000"/>
          <w:sz w:val="24"/>
          <w:szCs w:val="24"/>
          <w:lang w:eastAsia="vi-VN"/>
        </w:rPr>
        <w:t>1. Trang chủ của chính Phủ nước Cộng hoà Bê-nanh</w:t>
      </w:r>
    </w:p>
    <w:p w14:paraId="7C524636"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hyperlink r:id="rId6" w:history="1">
        <w:r w:rsidRPr="00194E48">
          <w:rPr>
            <w:rFonts w:asciiTheme="majorHAnsi" w:eastAsia="Times New Roman" w:hAnsiTheme="majorHAnsi" w:cstheme="majorHAnsi"/>
            <w:color w:val="000000"/>
            <w:sz w:val="24"/>
            <w:szCs w:val="24"/>
            <w:u w:val="single"/>
            <w:lang w:eastAsia="vi-VN"/>
          </w:rPr>
          <w:t>http://www.gouv.bj/en/index.php</w:t>
        </w:r>
      </w:hyperlink>
    </w:p>
    <w:p w14:paraId="7B5C6EE3"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000000"/>
          <w:sz w:val="24"/>
          <w:szCs w:val="24"/>
          <w:lang w:eastAsia="vi-VN"/>
        </w:rPr>
        <w:t> </w:t>
      </w:r>
    </w:p>
    <w:p w14:paraId="2417029D"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494949"/>
          <w:sz w:val="24"/>
          <w:szCs w:val="24"/>
          <w:lang w:eastAsia="vi-VN"/>
        </w:rPr>
        <w:t>2. Bộ Công nghiệp, Thương mại và Xúc tiến Lao động</w:t>
      </w:r>
    </w:p>
    <w:p w14:paraId="21CBF629" w14:textId="77777777" w:rsidR="00194E48" w:rsidRPr="00194E48" w:rsidRDefault="00194E48" w:rsidP="00194E48">
      <w:pPr>
        <w:spacing w:after="0"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494949"/>
          <w:sz w:val="24"/>
          <w:szCs w:val="24"/>
          <w:lang w:val="fr-FR" w:eastAsia="vi-VN"/>
        </w:rPr>
        <w:t>Ministère de l</w:t>
      </w:r>
      <w:r w:rsidRPr="00194E48">
        <w:rPr>
          <w:rFonts w:asciiTheme="majorHAnsi" w:eastAsia="Times New Roman" w:hAnsiTheme="majorHAnsi" w:cstheme="majorHAnsi"/>
          <w:color w:val="494949"/>
          <w:sz w:val="24"/>
          <w:szCs w:val="24"/>
          <w:lang w:eastAsia="vi-VN"/>
        </w:rPr>
        <w:t>’Industrie</w:t>
      </w:r>
      <w:r w:rsidRPr="00194E48">
        <w:rPr>
          <w:rFonts w:asciiTheme="majorHAnsi" w:eastAsia="Times New Roman" w:hAnsiTheme="majorHAnsi" w:cstheme="majorHAnsi"/>
          <w:color w:val="494949"/>
          <w:sz w:val="24"/>
          <w:szCs w:val="24"/>
          <w:lang w:val="fr-FR" w:eastAsia="vi-VN"/>
        </w:rPr>
        <w:t>, du Commerce et de promotion de l</w:t>
      </w:r>
      <w:r w:rsidRPr="00194E48">
        <w:rPr>
          <w:rFonts w:asciiTheme="majorHAnsi" w:eastAsia="Times New Roman" w:hAnsiTheme="majorHAnsi" w:cstheme="majorHAnsi"/>
          <w:color w:val="494949"/>
          <w:sz w:val="24"/>
          <w:szCs w:val="24"/>
          <w:lang w:eastAsia="vi-VN"/>
        </w:rPr>
        <w:t>’Emploi</w:t>
      </w:r>
    </w:p>
    <w:p w14:paraId="28AF546B" w14:textId="77777777" w:rsidR="00194E48" w:rsidRPr="00194E48" w:rsidRDefault="00194E48" w:rsidP="00194E48">
      <w:pPr>
        <w:spacing w:line="240" w:lineRule="auto"/>
        <w:rPr>
          <w:rFonts w:asciiTheme="majorHAnsi" w:eastAsia="Times New Roman" w:hAnsiTheme="majorHAnsi" w:cstheme="majorHAnsi"/>
          <w:color w:val="494949"/>
          <w:sz w:val="24"/>
          <w:szCs w:val="24"/>
          <w:lang w:eastAsia="vi-VN"/>
        </w:rPr>
      </w:pPr>
      <w:r w:rsidRPr="00194E48">
        <w:rPr>
          <w:rFonts w:asciiTheme="majorHAnsi" w:eastAsia="Times New Roman" w:hAnsiTheme="majorHAnsi" w:cstheme="majorHAnsi"/>
          <w:color w:val="494949"/>
          <w:sz w:val="24"/>
          <w:szCs w:val="24"/>
          <w:lang w:eastAsia="vi-VN"/>
        </w:rPr>
        <w:t>Adresse </w:t>
      </w:r>
      <w:r w:rsidRPr="00194E48">
        <w:rPr>
          <w:rFonts w:asciiTheme="majorHAnsi" w:eastAsia="Times New Roman" w:hAnsiTheme="majorHAnsi" w:cstheme="majorHAnsi"/>
          <w:color w:val="494949"/>
          <w:sz w:val="24"/>
          <w:szCs w:val="24"/>
          <w:lang w:val="fr-FR" w:eastAsia="vi-VN"/>
        </w:rPr>
        <w:t>:          </w:t>
      </w:r>
      <w:r w:rsidRPr="00194E48">
        <w:rPr>
          <w:rFonts w:asciiTheme="majorHAnsi" w:eastAsia="Times New Roman" w:hAnsiTheme="majorHAnsi" w:cstheme="majorHAnsi"/>
          <w:color w:val="494949"/>
          <w:sz w:val="24"/>
          <w:szCs w:val="24"/>
          <w:lang w:eastAsia="vi-VN"/>
        </w:rPr>
        <w:t>            </w:t>
      </w:r>
      <w:r w:rsidRPr="00194E48">
        <w:rPr>
          <w:rFonts w:asciiTheme="majorHAnsi" w:eastAsia="Times New Roman" w:hAnsiTheme="majorHAnsi" w:cstheme="majorHAnsi"/>
          <w:color w:val="494949"/>
          <w:sz w:val="24"/>
          <w:szCs w:val="24"/>
          <w:lang w:val="pt-BR" w:eastAsia="vi-VN"/>
        </w:rPr>
        <w:t>BP 363 COTONOU – BENIN</w:t>
      </w:r>
      <w:r w:rsidRPr="00194E48">
        <w:rPr>
          <w:rFonts w:asciiTheme="majorHAnsi" w:eastAsia="Times New Roman" w:hAnsiTheme="majorHAnsi" w:cstheme="majorHAnsi"/>
          <w:color w:val="494949"/>
          <w:sz w:val="24"/>
          <w:szCs w:val="24"/>
          <w:lang w:val="pt-BR" w:eastAsia="vi-VN"/>
        </w:rPr>
        <w:br/>
        <w:t>Tél : </w:t>
      </w:r>
      <w:r w:rsidRPr="00194E48">
        <w:rPr>
          <w:rFonts w:asciiTheme="majorHAnsi" w:eastAsia="Times New Roman" w:hAnsiTheme="majorHAnsi" w:cstheme="majorHAnsi"/>
          <w:color w:val="494949"/>
          <w:sz w:val="24"/>
          <w:szCs w:val="24"/>
          <w:lang w:eastAsia="vi-VN"/>
        </w:rPr>
        <w:t>                 </w:t>
      </w:r>
      <w:r w:rsidRPr="00194E48">
        <w:rPr>
          <w:rFonts w:asciiTheme="majorHAnsi" w:eastAsia="Times New Roman" w:hAnsiTheme="majorHAnsi" w:cstheme="majorHAnsi"/>
          <w:color w:val="494949"/>
          <w:sz w:val="24"/>
          <w:szCs w:val="24"/>
          <w:lang w:val="fr-FR" w:eastAsia="vi-VN"/>
        </w:rPr>
        <w:t>            </w:t>
      </w:r>
      <w:r w:rsidRPr="00194E48">
        <w:rPr>
          <w:rFonts w:asciiTheme="majorHAnsi" w:eastAsia="Times New Roman" w:hAnsiTheme="majorHAnsi" w:cstheme="majorHAnsi"/>
          <w:color w:val="494949"/>
          <w:sz w:val="24"/>
          <w:szCs w:val="24"/>
          <w:lang w:val="pt-BR" w:eastAsia="vi-VN"/>
        </w:rPr>
        <w:t>(229) 30 76 45 /30 76 46 / 30 76 47</w:t>
      </w:r>
      <w:r w:rsidRPr="00194E48">
        <w:rPr>
          <w:rFonts w:asciiTheme="majorHAnsi" w:eastAsia="Times New Roman" w:hAnsiTheme="majorHAnsi" w:cstheme="majorHAnsi"/>
          <w:color w:val="494949"/>
          <w:sz w:val="24"/>
          <w:szCs w:val="24"/>
          <w:lang w:val="pt-BR" w:eastAsia="vi-VN"/>
        </w:rPr>
        <w:br/>
        <w:t>Fax :</w:t>
      </w:r>
      <w:r w:rsidRPr="00194E48">
        <w:rPr>
          <w:rFonts w:asciiTheme="majorHAnsi" w:eastAsia="Times New Roman" w:hAnsiTheme="majorHAnsi" w:cstheme="majorHAnsi"/>
          <w:color w:val="494949"/>
          <w:sz w:val="24"/>
          <w:szCs w:val="24"/>
          <w:lang w:eastAsia="vi-VN"/>
        </w:rPr>
        <w:t>                 </w:t>
      </w:r>
      <w:r w:rsidRPr="00194E48">
        <w:rPr>
          <w:rFonts w:asciiTheme="majorHAnsi" w:eastAsia="Times New Roman" w:hAnsiTheme="majorHAnsi" w:cstheme="majorHAnsi"/>
          <w:color w:val="494949"/>
          <w:sz w:val="24"/>
          <w:szCs w:val="24"/>
          <w:lang w:val="fr-FR" w:eastAsia="vi-VN"/>
        </w:rPr>
        <w:t>            </w:t>
      </w:r>
      <w:r w:rsidRPr="00194E48">
        <w:rPr>
          <w:rFonts w:asciiTheme="majorHAnsi" w:eastAsia="Times New Roman" w:hAnsiTheme="majorHAnsi" w:cstheme="majorHAnsi"/>
          <w:color w:val="494949"/>
          <w:sz w:val="24"/>
          <w:szCs w:val="24"/>
          <w:lang w:val="pt-BR" w:eastAsia="vi-VN"/>
        </w:rPr>
        <w:t>(229) 30 30 24</w:t>
      </w:r>
      <w:r w:rsidRPr="00194E48">
        <w:rPr>
          <w:rFonts w:asciiTheme="majorHAnsi" w:eastAsia="Times New Roman" w:hAnsiTheme="majorHAnsi" w:cstheme="majorHAnsi"/>
          <w:color w:val="494949"/>
          <w:sz w:val="24"/>
          <w:szCs w:val="24"/>
          <w:lang w:val="pt-BR" w:eastAsia="vi-VN"/>
        </w:rPr>
        <w:br/>
        <w:t>E-mail : </w:t>
      </w:r>
      <w:r w:rsidRPr="00194E48">
        <w:rPr>
          <w:rFonts w:asciiTheme="majorHAnsi" w:eastAsia="Times New Roman" w:hAnsiTheme="majorHAnsi" w:cstheme="majorHAnsi"/>
          <w:color w:val="494949"/>
          <w:sz w:val="24"/>
          <w:szCs w:val="24"/>
          <w:lang w:eastAsia="vi-VN"/>
        </w:rPr>
        <w:t>&amp;nb</w:t>
      </w:r>
    </w:p>
    <w:p w14:paraId="351C5D98" w14:textId="77777777" w:rsidR="00E23567" w:rsidRPr="00194E48" w:rsidRDefault="00E23567">
      <w:pPr>
        <w:rPr>
          <w:rFonts w:asciiTheme="majorHAnsi" w:hAnsiTheme="majorHAnsi" w:cstheme="majorHAnsi"/>
          <w:sz w:val="24"/>
          <w:szCs w:val="24"/>
        </w:rPr>
      </w:pPr>
    </w:p>
    <w:sectPr w:rsidR="00E23567" w:rsidRPr="00194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222CDD"/>
    <w:multiLevelType w:val="multilevel"/>
    <w:tmpl w:val="BE4E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614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E48"/>
    <w:rsid w:val="00194E48"/>
    <w:rsid w:val="00E2356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3D047"/>
  <w15:chartTrackingRefBased/>
  <w15:docId w15:val="{138F05BC-D576-4580-A3CD-E8AD9B3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4E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E48"/>
    <w:rPr>
      <w:rFonts w:ascii="Times New Roman" w:eastAsia="Times New Roman" w:hAnsi="Times New Roman" w:cs="Times New Roman"/>
      <w:b/>
      <w:bCs/>
      <w:kern w:val="36"/>
      <w:sz w:val="48"/>
      <w:szCs w:val="48"/>
      <w:lang w:eastAsia="vi-VN"/>
    </w:rPr>
  </w:style>
  <w:style w:type="character" w:styleId="Hyperlink">
    <w:name w:val="Hyperlink"/>
    <w:basedOn w:val="DefaultParagraphFont"/>
    <w:uiPriority w:val="99"/>
    <w:semiHidden/>
    <w:unhideWhenUsed/>
    <w:rsid w:val="00194E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875915">
      <w:bodyDiv w:val="1"/>
      <w:marLeft w:val="0"/>
      <w:marRight w:val="0"/>
      <w:marTop w:val="0"/>
      <w:marBottom w:val="0"/>
      <w:divBdr>
        <w:top w:val="none" w:sz="0" w:space="0" w:color="auto"/>
        <w:left w:val="none" w:sz="0" w:space="0" w:color="auto"/>
        <w:bottom w:val="none" w:sz="0" w:space="0" w:color="auto"/>
        <w:right w:val="none" w:sz="0" w:space="0" w:color="auto"/>
      </w:divBdr>
      <w:divsChild>
        <w:div w:id="72554639">
          <w:marLeft w:val="0"/>
          <w:marRight w:val="0"/>
          <w:marTop w:val="0"/>
          <w:marBottom w:val="0"/>
          <w:divBdr>
            <w:top w:val="none" w:sz="0" w:space="0" w:color="auto"/>
            <w:left w:val="none" w:sz="0" w:space="0" w:color="auto"/>
            <w:bottom w:val="none" w:sz="0" w:space="0" w:color="auto"/>
            <w:right w:val="none" w:sz="0" w:space="0" w:color="auto"/>
          </w:divBdr>
          <w:divsChild>
            <w:div w:id="1484350390">
              <w:marLeft w:val="0"/>
              <w:marRight w:val="0"/>
              <w:marTop w:val="0"/>
              <w:marBottom w:val="0"/>
              <w:divBdr>
                <w:top w:val="none" w:sz="0" w:space="0" w:color="auto"/>
                <w:left w:val="none" w:sz="0" w:space="0" w:color="auto"/>
                <w:bottom w:val="none" w:sz="0" w:space="0" w:color="auto"/>
                <w:right w:val="none" w:sz="0" w:space="0" w:color="auto"/>
              </w:divBdr>
              <w:divsChild>
                <w:div w:id="1910995676">
                  <w:marLeft w:val="0"/>
                  <w:marRight w:val="0"/>
                  <w:marTop w:val="0"/>
                  <w:marBottom w:val="0"/>
                  <w:divBdr>
                    <w:top w:val="none" w:sz="0" w:space="0" w:color="auto"/>
                    <w:left w:val="none" w:sz="0" w:space="0" w:color="auto"/>
                    <w:bottom w:val="none" w:sz="0" w:space="0" w:color="auto"/>
                    <w:right w:val="none" w:sz="0" w:space="0" w:color="auto"/>
                  </w:divBdr>
                </w:div>
                <w:div w:id="288977142">
                  <w:marLeft w:val="0"/>
                  <w:marRight w:val="0"/>
                  <w:marTop w:val="0"/>
                  <w:marBottom w:val="0"/>
                  <w:divBdr>
                    <w:top w:val="none" w:sz="0" w:space="0" w:color="auto"/>
                    <w:left w:val="none" w:sz="0" w:space="0" w:color="auto"/>
                    <w:bottom w:val="none" w:sz="0" w:space="0" w:color="auto"/>
                    <w:right w:val="none" w:sz="0" w:space="0" w:color="auto"/>
                  </w:divBdr>
                  <w:divsChild>
                    <w:div w:id="1954942959">
                      <w:marLeft w:val="600"/>
                      <w:marRight w:val="0"/>
                      <w:marTop w:val="0"/>
                      <w:marBottom w:val="0"/>
                      <w:divBdr>
                        <w:top w:val="none" w:sz="0" w:space="0" w:color="auto"/>
                        <w:left w:val="none" w:sz="0" w:space="0" w:color="auto"/>
                        <w:bottom w:val="none" w:sz="0" w:space="0" w:color="auto"/>
                        <w:right w:val="none" w:sz="0" w:space="0" w:color="auto"/>
                      </w:divBdr>
                      <w:divsChild>
                        <w:div w:id="634602520">
                          <w:marLeft w:val="180"/>
                          <w:marRight w:val="0"/>
                          <w:marTop w:val="0"/>
                          <w:marBottom w:val="0"/>
                          <w:divBdr>
                            <w:top w:val="none" w:sz="0" w:space="0" w:color="auto"/>
                            <w:left w:val="none" w:sz="0" w:space="0" w:color="auto"/>
                            <w:bottom w:val="none" w:sz="0" w:space="0" w:color="auto"/>
                            <w:right w:val="none" w:sz="0" w:space="0" w:color="auto"/>
                          </w:divBdr>
                          <w:divsChild>
                            <w:div w:id="1806268183">
                              <w:marLeft w:val="0"/>
                              <w:marRight w:val="45"/>
                              <w:marTop w:val="0"/>
                              <w:marBottom w:val="0"/>
                              <w:divBdr>
                                <w:top w:val="none" w:sz="0" w:space="0" w:color="auto"/>
                                <w:left w:val="none" w:sz="0" w:space="0" w:color="auto"/>
                                <w:bottom w:val="none" w:sz="0" w:space="0" w:color="auto"/>
                                <w:right w:val="none" w:sz="0" w:space="0" w:color="auto"/>
                              </w:divBdr>
                            </w:div>
                            <w:div w:id="12697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39469">
                      <w:marLeft w:val="0"/>
                      <w:marRight w:val="0"/>
                      <w:marTop w:val="300"/>
                      <w:marBottom w:val="0"/>
                      <w:divBdr>
                        <w:top w:val="none" w:sz="0" w:space="0" w:color="auto"/>
                        <w:left w:val="none" w:sz="0" w:space="0" w:color="auto"/>
                        <w:bottom w:val="none" w:sz="0" w:space="0" w:color="auto"/>
                        <w:right w:val="none" w:sz="0" w:space="0" w:color="auto"/>
                      </w:divBdr>
                    </w:div>
                  </w:divsChild>
                </w:div>
                <w:div w:id="733938273">
                  <w:marLeft w:val="0"/>
                  <w:marRight w:val="0"/>
                  <w:marTop w:val="0"/>
                  <w:marBottom w:val="0"/>
                  <w:divBdr>
                    <w:top w:val="none" w:sz="0" w:space="0" w:color="auto"/>
                    <w:left w:val="none" w:sz="0" w:space="0" w:color="auto"/>
                    <w:bottom w:val="none" w:sz="0" w:space="0" w:color="auto"/>
                    <w:right w:val="none" w:sz="0" w:space="0" w:color="auto"/>
                  </w:divBdr>
                </w:div>
              </w:divsChild>
            </w:div>
            <w:div w:id="1865635357">
              <w:marLeft w:val="0"/>
              <w:marRight w:val="0"/>
              <w:marTop w:val="0"/>
              <w:marBottom w:val="0"/>
              <w:divBdr>
                <w:top w:val="none" w:sz="0" w:space="0" w:color="auto"/>
                <w:left w:val="none" w:sz="0" w:space="0" w:color="auto"/>
                <w:bottom w:val="single" w:sz="18" w:space="4" w:color="1F1F1F"/>
                <w:right w:val="none" w:sz="0" w:space="0" w:color="auto"/>
              </w:divBdr>
            </w:div>
            <w:div w:id="1974165487">
              <w:marLeft w:val="0"/>
              <w:marRight w:val="0"/>
              <w:marTop w:val="0"/>
              <w:marBottom w:val="0"/>
              <w:divBdr>
                <w:top w:val="none" w:sz="0" w:space="0" w:color="auto"/>
                <w:left w:val="none" w:sz="0" w:space="0" w:color="auto"/>
                <w:bottom w:val="single" w:sz="6" w:space="6" w:color="A3A3A3"/>
                <w:right w:val="none" w:sz="0" w:space="0" w:color="auto"/>
              </w:divBdr>
              <w:divsChild>
                <w:div w:id="1141966914">
                  <w:marLeft w:val="0"/>
                  <w:marRight w:val="225"/>
                  <w:marTop w:val="0"/>
                  <w:marBottom w:val="0"/>
                  <w:divBdr>
                    <w:top w:val="none" w:sz="0" w:space="0" w:color="auto"/>
                    <w:left w:val="none" w:sz="0" w:space="0" w:color="auto"/>
                    <w:bottom w:val="none" w:sz="0" w:space="0" w:color="auto"/>
                    <w:right w:val="none" w:sz="0" w:space="0" w:color="auto"/>
                  </w:divBdr>
                </w:div>
                <w:div w:id="1666084296">
                  <w:marLeft w:val="0"/>
                  <w:marRight w:val="225"/>
                  <w:marTop w:val="0"/>
                  <w:marBottom w:val="0"/>
                  <w:divBdr>
                    <w:top w:val="none" w:sz="0" w:space="0" w:color="auto"/>
                    <w:left w:val="none" w:sz="0" w:space="0" w:color="auto"/>
                    <w:bottom w:val="none" w:sz="0" w:space="0" w:color="auto"/>
                    <w:right w:val="none" w:sz="0" w:space="0" w:color="auto"/>
                  </w:divBdr>
                </w:div>
                <w:div w:id="932788722">
                  <w:marLeft w:val="0"/>
                  <w:marRight w:val="225"/>
                  <w:marTop w:val="0"/>
                  <w:marBottom w:val="0"/>
                  <w:divBdr>
                    <w:top w:val="none" w:sz="0" w:space="0" w:color="auto"/>
                    <w:left w:val="none" w:sz="0" w:space="0" w:color="auto"/>
                    <w:bottom w:val="none" w:sz="0" w:space="0" w:color="auto"/>
                    <w:right w:val="none" w:sz="0" w:space="0" w:color="auto"/>
                  </w:divBdr>
                </w:div>
                <w:div w:id="7412806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339388827">
          <w:marLeft w:val="0"/>
          <w:marRight w:val="0"/>
          <w:marTop w:val="0"/>
          <w:marBottom w:val="0"/>
          <w:divBdr>
            <w:top w:val="none" w:sz="0" w:space="0" w:color="auto"/>
            <w:left w:val="none" w:sz="0" w:space="0" w:color="auto"/>
            <w:bottom w:val="none" w:sz="0" w:space="0" w:color="auto"/>
            <w:right w:val="none" w:sz="0" w:space="0" w:color="auto"/>
          </w:divBdr>
          <w:divsChild>
            <w:div w:id="573709770">
              <w:marLeft w:val="0"/>
              <w:marRight w:val="0"/>
              <w:marTop w:val="0"/>
              <w:marBottom w:val="0"/>
              <w:divBdr>
                <w:top w:val="none" w:sz="0" w:space="0" w:color="auto"/>
                <w:left w:val="none" w:sz="0" w:space="0" w:color="auto"/>
                <w:bottom w:val="none" w:sz="0" w:space="0" w:color="auto"/>
                <w:right w:val="none" w:sz="0" w:space="0" w:color="auto"/>
              </w:divBdr>
              <w:divsChild>
                <w:div w:id="1615214940">
                  <w:marLeft w:val="0"/>
                  <w:marRight w:val="375"/>
                  <w:marTop w:val="0"/>
                  <w:marBottom w:val="0"/>
                  <w:divBdr>
                    <w:top w:val="none" w:sz="0" w:space="0" w:color="auto"/>
                    <w:left w:val="none" w:sz="0" w:space="0" w:color="auto"/>
                    <w:bottom w:val="none" w:sz="0" w:space="0" w:color="auto"/>
                    <w:right w:val="none" w:sz="0" w:space="0" w:color="auto"/>
                  </w:divBdr>
                  <w:divsChild>
                    <w:div w:id="342903732">
                      <w:marLeft w:val="0"/>
                      <w:marRight w:val="0"/>
                      <w:marTop w:val="0"/>
                      <w:marBottom w:val="0"/>
                      <w:divBdr>
                        <w:top w:val="none" w:sz="0" w:space="0" w:color="auto"/>
                        <w:left w:val="none" w:sz="0" w:space="0" w:color="auto"/>
                        <w:bottom w:val="none" w:sz="0" w:space="0" w:color="auto"/>
                        <w:right w:val="none" w:sz="0" w:space="0" w:color="auto"/>
                      </w:divBdr>
                      <w:divsChild>
                        <w:div w:id="1110971921">
                          <w:marLeft w:val="0"/>
                          <w:marRight w:val="0"/>
                          <w:marTop w:val="0"/>
                          <w:marBottom w:val="75"/>
                          <w:divBdr>
                            <w:top w:val="none" w:sz="0" w:space="0" w:color="auto"/>
                            <w:left w:val="none" w:sz="0" w:space="0" w:color="auto"/>
                            <w:bottom w:val="none" w:sz="0" w:space="0" w:color="auto"/>
                            <w:right w:val="none" w:sz="0" w:space="0" w:color="auto"/>
                          </w:divBdr>
                        </w:div>
                      </w:divsChild>
                    </w:div>
                    <w:div w:id="177161510">
                      <w:marLeft w:val="0"/>
                      <w:marRight w:val="0"/>
                      <w:marTop w:val="0"/>
                      <w:marBottom w:val="0"/>
                      <w:divBdr>
                        <w:top w:val="none" w:sz="0" w:space="0" w:color="auto"/>
                        <w:left w:val="none" w:sz="0" w:space="0" w:color="auto"/>
                        <w:bottom w:val="none" w:sz="0" w:space="0" w:color="auto"/>
                        <w:right w:val="none" w:sz="0" w:space="0" w:color="auto"/>
                      </w:divBdr>
                      <w:divsChild>
                        <w:div w:id="497382128">
                          <w:marLeft w:val="0"/>
                          <w:marRight w:val="0"/>
                          <w:marTop w:val="0"/>
                          <w:marBottom w:val="0"/>
                          <w:divBdr>
                            <w:top w:val="none" w:sz="0" w:space="0" w:color="auto"/>
                            <w:left w:val="none" w:sz="0" w:space="0" w:color="auto"/>
                            <w:bottom w:val="none" w:sz="0" w:space="0" w:color="auto"/>
                            <w:right w:val="none" w:sz="0" w:space="0" w:color="auto"/>
                          </w:divBdr>
                          <w:divsChild>
                            <w:div w:id="702748570">
                              <w:marLeft w:val="0"/>
                              <w:marRight w:val="0"/>
                              <w:marTop w:val="0"/>
                              <w:marBottom w:val="0"/>
                              <w:divBdr>
                                <w:top w:val="none" w:sz="0" w:space="0" w:color="auto"/>
                                <w:left w:val="none" w:sz="0" w:space="0" w:color="auto"/>
                                <w:bottom w:val="none" w:sz="0" w:space="0" w:color="auto"/>
                                <w:right w:val="none" w:sz="0" w:space="0" w:color="auto"/>
                              </w:divBdr>
                              <w:divsChild>
                                <w:div w:id="1285767974">
                                  <w:marLeft w:val="0"/>
                                  <w:marRight w:val="0"/>
                                  <w:marTop w:val="0"/>
                                  <w:marBottom w:val="0"/>
                                  <w:divBdr>
                                    <w:top w:val="none" w:sz="0" w:space="0" w:color="auto"/>
                                    <w:left w:val="none" w:sz="0" w:space="0" w:color="auto"/>
                                    <w:bottom w:val="none" w:sz="0" w:space="0" w:color="auto"/>
                                    <w:right w:val="none" w:sz="0" w:space="0" w:color="auto"/>
                                  </w:divBdr>
                                </w:div>
                              </w:divsChild>
                            </w:div>
                            <w:div w:id="50229852">
                              <w:marLeft w:val="0"/>
                              <w:marRight w:val="0"/>
                              <w:marTop w:val="0"/>
                              <w:marBottom w:val="225"/>
                              <w:divBdr>
                                <w:top w:val="none" w:sz="0" w:space="0" w:color="auto"/>
                                <w:left w:val="none" w:sz="0" w:space="0" w:color="auto"/>
                                <w:bottom w:val="none" w:sz="0" w:space="0" w:color="auto"/>
                                <w:right w:val="none" w:sz="0" w:space="0" w:color="auto"/>
                              </w:divBdr>
                            </w:div>
                            <w:div w:id="1629242336">
                              <w:marLeft w:val="0"/>
                              <w:marRight w:val="0"/>
                              <w:marTop w:val="0"/>
                              <w:marBottom w:val="150"/>
                              <w:divBdr>
                                <w:top w:val="none" w:sz="0" w:space="0" w:color="auto"/>
                                <w:left w:val="none" w:sz="0" w:space="0" w:color="auto"/>
                                <w:bottom w:val="none" w:sz="0" w:space="0" w:color="auto"/>
                                <w:right w:val="none" w:sz="0" w:space="0" w:color="auto"/>
                              </w:divBdr>
                            </w:div>
                            <w:div w:id="541556088">
                              <w:marLeft w:val="0"/>
                              <w:marRight w:val="0"/>
                              <w:marTop w:val="0"/>
                              <w:marBottom w:val="300"/>
                              <w:divBdr>
                                <w:top w:val="none" w:sz="0" w:space="0" w:color="auto"/>
                                <w:left w:val="none" w:sz="0" w:space="0" w:color="auto"/>
                                <w:bottom w:val="none" w:sz="0" w:space="0" w:color="auto"/>
                                <w:right w:val="none" w:sz="0" w:space="0" w:color="auto"/>
                              </w:divBdr>
                            </w:div>
                            <w:div w:id="95953209">
                              <w:marLeft w:val="0"/>
                              <w:marRight w:val="0"/>
                              <w:marTop w:val="0"/>
                              <w:marBottom w:val="750"/>
                              <w:divBdr>
                                <w:top w:val="none" w:sz="0" w:space="0" w:color="auto"/>
                                <w:left w:val="none" w:sz="0" w:space="0" w:color="auto"/>
                                <w:bottom w:val="none" w:sz="0" w:space="0" w:color="auto"/>
                                <w:right w:val="none" w:sz="0" w:space="0" w:color="auto"/>
                              </w:divBdr>
                              <w:divsChild>
                                <w:div w:id="34158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47624">
                  <w:marLeft w:val="0"/>
                  <w:marRight w:val="0"/>
                  <w:marTop w:val="0"/>
                  <w:marBottom w:val="0"/>
                  <w:divBdr>
                    <w:top w:val="none" w:sz="0" w:space="0" w:color="auto"/>
                    <w:left w:val="none" w:sz="0" w:space="0" w:color="auto"/>
                    <w:bottom w:val="none" w:sz="0" w:space="0" w:color="auto"/>
                    <w:right w:val="none" w:sz="0" w:space="0" w:color="auto"/>
                  </w:divBdr>
                  <w:divsChild>
                    <w:div w:id="2115243468">
                      <w:marLeft w:val="0"/>
                      <w:marRight w:val="0"/>
                      <w:marTop w:val="0"/>
                      <w:marBottom w:val="0"/>
                      <w:divBdr>
                        <w:top w:val="none" w:sz="0" w:space="0" w:color="auto"/>
                        <w:left w:val="none" w:sz="0" w:space="0" w:color="auto"/>
                        <w:bottom w:val="none" w:sz="0" w:space="0" w:color="auto"/>
                        <w:right w:val="none" w:sz="0" w:space="0" w:color="auto"/>
                      </w:divBdr>
                      <w:divsChild>
                        <w:div w:id="736585625">
                          <w:marLeft w:val="0"/>
                          <w:marRight w:val="0"/>
                          <w:marTop w:val="0"/>
                          <w:marBottom w:val="0"/>
                          <w:divBdr>
                            <w:top w:val="single" w:sz="6" w:space="1" w:color="1871BD"/>
                            <w:left w:val="single" w:sz="6" w:space="1" w:color="1871BD"/>
                            <w:bottom w:val="single" w:sz="6" w:space="1" w:color="1871BD"/>
                            <w:right w:val="single" w:sz="6" w:space="1" w:color="1871BD"/>
                          </w:divBdr>
                        </w:div>
                      </w:divsChild>
                    </w:div>
                  </w:divsChild>
                </w:div>
              </w:divsChild>
            </w:div>
          </w:divsChild>
        </w:div>
        <w:div w:id="740710891">
          <w:marLeft w:val="0"/>
          <w:marRight w:val="0"/>
          <w:marTop w:val="150"/>
          <w:marBottom w:val="0"/>
          <w:divBdr>
            <w:top w:val="none" w:sz="0" w:space="0" w:color="auto"/>
            <w:left w:val="none" w:sz="0" w:space="0" w:color="auto"/>
            <w:bottom w:val="none" w:sz="0" w:space="0" w:color="auto"/>
            <w:right w:val="none" w:sz="0" w:space="0" w:color="auto"/>
          </w:divBdr>
          <w:divsChild>
            <w:div w:id="1336421690">
              <w:marLeft w:val="0"/>
              <w:marRight w:val="0"/>
              <w:marTop w:val="0"/>
              <w:marBottom w:val="0"/>
              <w:divBdr>
                <w:top w:val="none" w:sz="0" w:space="0" w:color="auto"/>
                <w:left w:val="none" w:sz="0" w:space="0" w:color="auto"/>
                <w:bottom w:val="none" w:sz="0" w:space="0" w:color="auto"/>
                <w:right w:val="none" w:sz="0" w:space="0" w:color="auto"/>
              </w:divBdr>
              <w:divsChild>
                <w:div w:id="865944546">
                  <w:marLeft w:val="0"/>
                  <w:marRight w:val="0"/>
                  <w:marTop w:val="0"/>
                  <w:marBottom w:val="0"/>
                  <w:divBdr>
                    <w:top w:val="none" w:sz="0" w:space="0" w:color="auto"/>
                    <w:left w:val="none" w:sz="0" w:space="0" w:color="auto"/>
                    <w:bottom w:val="none" w:sz="0" w:space="0" w:color="auto"/>
                    <w:right w:val="none" w:sz="0" w:space="0" w:color="auto"/>
                  </w:divBdr>
                  <w:divsChild>
                    <w:div w:id="687292931">
                      <w:marLeft w:val="0"/>
                      <w:marRight w:val="0"/>
                      <w:marTop w:val="0"/>
                      <w:marBottom w:val="0"/>
                      <w:divBdr>
                        <w:top w:val="none" w:sz="0" w:space="0" w:color="auto"/>
                        <w:left w:val="none" w:sz="0" w:space="0" w:color="auto"/>
                        <w:bottom w:val="none" w:sz="0" w:space="0" w:color="auto"/>
                        <w:right w:val="none" w:sz="0" w:space="0" w:color="auto"/>
                      </w:divBdr>
                    </w:div>
                    <w:div w:id="3060160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64459307">
      <w:bodyDiv w:val="1"/>
      <w:marLeft w:val="0"/>
      <w:marRight w:val="0"/>
      <w:marTop w:val="0"/>
      <w:marBottom w:val="0"/>
      <w:divBdr>
        <w:top w:val="none" w:sz="0" w:space="0" w:color="auto"/>
        <w:left w:val="none" w:sz="0" w:space="0" w:color="auto"/>
        <w:bottom w:val="none" w:sz="0" w:space="0" w:color="auto"/>
        <w:right w:val="none" w:sz="0" w:space="0" w:color="auto"/>
      </w:divBdr>
      <w:divsChild>
        <w:div w:id="1258712838">
          <w:marLeft w:val="0"/>
          <w:marRight w:val="0"/>
          <w:marTop w:val="0"/>
          <w:marBottom w:val="225"/>
          <w:divBdr>
            <w:top w:val="none" w:sz="0" w:space="0" w:color="auto"/>
            <w:left w:val="none" w:sz="0" w:space="0" w:color="auto"/>
            <w:bottom w:val="none" w:sz="0" w:space="0" w:color="auto"/>
            <w:right w:val="none" w:sz="0" w:space="0" w:color="auto"/>
          </w:divBdr>
        </w:div>
        <w:div w:id="1949777724">
          <w:marLeft w:val="0"/>
          <w:marRight w:val="0"/>
          <w:marTop w:val="0"/>
          <w:marBottom w:val="150"/>
          <w:divBdr>
            <w:top w:val="none" w:sz="0" w:space="0" w:color="auto"/>
            <w:left w:val="none" w:sz="0" w:space="0" w:color="auto"/>
            <w:bottom w:val="none" w:sz="0" w:space="0" w:color="auto"/>
            <w:right w:val="none" w:sz="0" w:space="0" w:color="auto"/>
          </w:divBdr>
        </w:div>
        <w:div w:id="761337568">
          <w:marLeft w:val="0"/>
          <w:marRight w:val="0"/>
          <w:marTop w:val="0"/>
          <w:marBottom w:val="300"/>
          <w:divBdr>
            <w:top w:val="none" w:sz="0" w:space="0" w:color="auto"/>
            <w:left w:val="none" w:sz="0" w:space="0" w:color="auto"/>
            <w:bottom w:val="none" w:sz="0" w:space="0" w:color="auto"/>
            <w:right w:val="none" w:sz="0" w:space="0" w:color="auto"/>
          </w:divBdr>
        </w:div>
      </w:divsChild>
    </w:div>
    <w:div w:id="1960607180">
      <w:bodyDiv w:val="1"/>
      <w:marLeft w:val="0"/>
      <w:marRight w:val="0"/>
      <w:marTop w:val="0"/>
      <w:marBottom w:val="0"/>
      <w:divBdr>
        <w:top w:val="none" w:sz="0" w:space="0" w:color="auto"/>
        <w:left w:val="none" w:sz="0" w:space="0" w:color="auto"/>
        <w:bottom w:val="none" w:sz="0" w:space="0" w:color="auto"/>
        <w:right w:val="none" w:sz="0" w:space="0" w:color="auto"/>
      </w:divBdr>
      <w:divsChild>
        <w:div w:id="971713532">
          <w:marLeft w:val="0"/>
          <w:marRight w:val="0"/>
          <w:marTop w:val="0"/>
          <w:marBottom w:val="0"/>
          <w:divBdr>
            <w:top w:val="none" w:sz="0" w:space="0" w:color="auto"/>
            <w:left w:val="none" w:sz="0" w:space="0" w:color="auto"/>
            <w:bottom w:val="none" w:sz="0" w:space="0" w:color="auto"/>
            <w:right w:val="none" w:sz="0" w:space="0" w:color="auto"/>
          </w:divBdr>
          <w:divsChild>
            <w:div w:id="603461047">
              <w:marLeft w:val="0"/>
              <w:marRight w:val="0"/>
              <w:marTop w:val="0"/>
              <w:marBottom w:val="0"/>
              <w:divBdr>
                <w:top w:val="none" w:sz="0" w:space="0" w:color="auto"/>
                <w:left w:val="none" w:sz="0" w:space="0" w:color="auto"/>
                <w:bottom w:val="none" w:sz="0" w:space="0" w:color="auto"/>
                <w:right w:val="none" w:sz="0" w:space="0" w:color="auto"/>
              </w:divBdr>
              <w:divsChild>
                <w:div w:id="1836258081">
                  <w:marLeft w:val="0"/>
                  <w:marRight w:val="0"/>
                  <w:marTop w:val="0"/>
                  <w:marBottom w:val="0"/>
                  <w:divBdr>
                    <w:top w:val="none" w:sz="0" w:space="0" w:color="auto"/>
                    <w:left w:val="none" w:sz="0" w:space="0" w:color="auto"/>
                    <w:bottom w:val="none" w:sz="0" w:space="0" w:color="auto"/>
                    <w:right w:val="none" w:sz="0" w:space="0" w:color="auto"/>
                  </w:divBdr>
                </w:div>
                <w:div w:id="637150306">
                  <w:marLeft w:val="0"/>
                  <w:marRight w:val="0"/>
                  <w:marTop w:val="0"/>
                  <w:marBottom w:val="0"/>
                  <w:divBdr>
                    <w:top w:val="none" w:sz="0" w:space="0" w:color="auto"/>
                    <w:left w:val="none" w:sz="0" w:space="0" w:color="auto"/>
                    <w:bottom w:val="none" w:sz="0" w:space="0" w:color="auto"/>
                    <w:right w:val="none" w:sz="0" w:space="0" w:color="auto"/>
                  </w:divBdr>
                  <w:divsChild>
                    <w:div w:id="281349467">
                      <w:marLeft w:val="600"/>
                      <w:marRight w:val="0"/>
                      <w:marTop w:val="0"/>
                      <w:marBottom w:val="0"/>
                      <w:divBdr>
                        <w:top w:val="none" w:sz="0" w:space="0" w:color="auto"/>
                        <w:left w:val="none" w:sz="0" w:space="0" w:color="auto"/>
                        <w:bottom w:val="none" w:sz="0" w:space="0" w:color="auto"/>
                        <w:right w:val="none" w:sz="0" w:space="0" w:color="auto"/>
                      </w:divBdr>
                      <w:divsChild>
                        <w:div w:id="2087069996">
                          <w:marLeft w:val="180"/>
                          <w:marRight w:val="0"/>
                          <w:marTop w:val="0"/>
                          <w:marBottom w:val="0"/>
                          <w:divBdr>
                            <w:top w:val="none" w:sz="0" w:space="0" w:color="auto"/>
                            <w:left w:val="none" w:sz="0" w:space="0" w:color="auto"/>
                            <w:bottom w:val="none" w:sz="0" w:space="0" w:color="auto"/>
                            <w:right w:val="none" w:sz="0" w:space="0" w:color="auto"/>
                          </w:divBdr>
                          <w:divsChild>
                            <w:div w:id="1843741575">
                              <w:marLeft w:val="0"/>
                              <w:marRight w:val="45"/>
                              <w:marTop w:val="0"/>
                              <w:marBottom w:val="0"/>
                              <w:divBdr>
                                <w:top w:val="none" w:sz="0" w:space="0" w:color="auto"/>
                                <w:left w:val="none" w:sz="0" w:space="0" w:color="auto"/>
                                <w:bottom w:val="none" w:sz="0" w:space="0" w:color="auto"/>
                                <w:right w:val="none" w:sz="0" w:space="0" w:color="auto"/>
                              </w:divBdr>
                            </w:div>
                            <w:div w:id="62862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704588">
                      <w:marLeft w:val="0"/>
                      <w:marRight w:val="0"/>
                      <w:marTop w:val="300"/>
                      <w:marBottom w:val="0"/>
                      <w:divBdr>
                        <w:top w:val="none" w:sz="0" w:space="0" w:color="auto"/>
                        <w:left w:val="none" w:sz="0" w:space="0" w:color="auto"/>
                        <w:bottom w:val="none" w:sz="0" w:space="0" w:color="auto"/>
                        <w:right w:val="none" w:sz="0" w:space="0" w:color="auto"/>
                      </w:divBdr>
                    </w:div>
                  </w:divsChild>
                </w:div>
                <w:div w:id="1607545593">
                  <w:marLeft w:val="0"/>
                  <w:marRight w:val="0"/>
                  <w:marTop w:val="0"/>
                  <w:marBottom w:val="0"/>
                  <w:divBdr>
                    <w:top w:val="none" w:sz="0" w:space="0" w:color="auto"/>
                    <w:left w:val="none" w:sz="0" w:space="0" w:color="auto"/>
                    <w:bottom w:val="none" w:sz="0" w:space="0" w:color="auto"/>
                    <w:right w:val="none" w:sz="0" w:space="0" w:color="auto"/>
                  </w:divBdr>
                </w:div>
              </w:divsChild>
            </w:div>
            <w:div w:id="1294942574">
              <w:marLeft w:val="0"/>
              <w:marRight w:val="0"/>
              <w:marTop w:val="0"/>
              <w:marBottom w:val="0"/>
              <w:divBdr>
                <w:top w:val="none" w:sz="0" w:space="0" w:color="auto"/>
                <w:left w:val="none" w:sz="0" w:space="0" w:color="auto"/>
                <w:bottom w:val="single" w:sz="18" w:space="4" w:color="1F1F1F"/>
                <w:right w:val="none" w:sz="0" w:space="0" w:color="auto"/>
              </w:divBdr>
            </w:div>
            <w:div w:id="826289730">
              <w:marLeft w:val="0"/>
              <w:marRight w:val="0"/>
              <w:marTop w:val="0"/>
              <w:marBottom w:val="0"/>
              <w:divBdr>
                <w:top w:val="none" w:sz="0" w:space="0" w:color="auto"/>
                <w:left w:val="none" w:sz="0" w:space="0" w:color="auto"/>
                <w:bottom w:val="single" w:sz="6" w:space="6" w:color="A3A3A3"/>
                <w:right w:val="none" w:sz="0" w:space="0" w:color="auto"/>
              </w:divBdr>
              <w:divsChild>
                <w:div w:id="580677827">
                  <w:marLeft w:val="0"/>
                  <w:marRight w:val="225"/>
                  <w:marTop w:val="0"/>
                  <w:marBottom w:val="0"/>
                  <w:divBdr>
                    <w:top w:val="none" w:sz="0" w:space="0" w:color="auto"/>
                    <w:left w:val="none" w:sz="0" w:space="0" w:color="auto"/>
                    <w:bottom w:val="none" w:sz="0" w:space="0" w:color="auto"/>
                    <w:right w:val="none" w:sz="0" w:space="0" w:color="auto"/>
                  </w:divBdr>
                </w:div>
                <w:div w:id="277952282">
                  <w:marLeft w:val="0"/>
                  <w:marRight w:val="225"/>
                  <w:marTop w:val="0"/>
                  <w:marBottom w:val="0"/>
                  <w:divBdr>
                    <w:top w:val="none" w:sz="0" w:space="0" w:color="auto"/>
                    <w:left w:val="none" w:sz="0" w:space="0" w:color="auto"/>
                    <w:bottom w:val="none" w:sz="0" w:space="0" w:color="auto"/>
                    <w:right w:val="none" w:sz="0" w:space="0" w:color="auto"/>
                  </w:divBdr>
                </w:div>
                <w:div w:id="150560313">
                  <w:marLeft w:val="0"/>
                  <w:marRight w:val="225"/>
                  <w:marTop w:val="0"/>
                  <w:marBottom w:val="0"/>
                  <w:divBdr>
                    <w:top w:val="none" w:sz="0" w:space="0" w:color="auto"/>
                    <w:left w:val="none" w:sz="0" w:space="0" w:color="auto"/>
                    <w:bottom w:val="none" w:sz="0" w:space="0" w:color="auto"/>
                    <w:right w:val="none" w:sz="0" w:space="0" w:color="auto"/>
                  </w:divBdr>
                </w:div>
                <w:div w:id="163899565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792628225">
          <w:marLeft w:val="0"/>
          <w:marRight w:val="0"/>
          <w:marTop w:val="0"/>
          <w:marBottom w:val="0"/>
          <w:divBdr>
            <w:top w:val="none" w:sz="0" w:space="0" w:color="auto"/>
            <w:left w:val="none" w:sz="0" w:space="0" w:color="auto"/>
            <w:bottom w:val="none" w:sz="0" w:space="0" w:color="auto"/>
            <w:right w:val="none" w:sz="0" w:space="0" w:color="auto"/>
          </w:divBdr>
          <w:divsChild>
            <w:div w:id="130558334">
              <w:marLeft w:val="0"/>
              <w:marRight w:val="0"/>
              <w:marTop w:val="0"/>
              <w:marBottom w:val="0"/>
              <w:divBdr>
                <w:top w:val="none" w:sz="0" w:space="0" w:color="auto"/>
                <w:left w:val="none" w:sz="0" w:space="0" w:color="auto"/>
                <w:bottom w:val="none" w:sz="0" w:space="0" w:color="auto"/>
                <w:right w:val="none" w:sz="0" w:space="0" w:color="auto"/>
              </w:divBdr>
              <w:divsChild>
                <w:div w:id="1986007301">
                  <w:marLeft w:val="0"/>
                  <w:marRight w:val="375"/>
                  <w:marTop w:val="0"/>
                  <w:marBottom w:val="0"/>
                  <w:divBdr>
                    <w:top w:val="none" w:sz="0" w:space="0" w:color="auto"/>
                    <w:left w:val="none" w:sz="0" w:space="0" w:color="auto"/>
                    <w:bottom w:val="none" w:sz="0" w:space="0" w:color="auto"/>
                    <w:right w:val="none" w:sz="0" w:space="0" w:color="auto"/>
                  </w:divBdr>
                  <w:divsChild>
                    <w:div w:id="297539758">
                      <w:marLeft w:val="0"/>
                      <w:marRight w:val="0"/>
                      <w:marTop w:val="0"/>
                      <w:marBottom w:val="0"/>
                      <w:divBdr>
                        <w:top w:val="none" w:sz="0" w:space="0" w:color="auto"/>
                        <w:left w:val="none" w:sz="0" w:space="0" w:color="auto"/>
                        <w:bottom w:val="none" w:sz="0" w:space="0" w:color="auto"/>
                        <w:right w:val="none" w:sz="0" w:space="0" w:color="auto"/>
                      </w:divBdr>
                      <w:divsChild>
                        <w:div w:id="1718964657">
                          <w:marLeft w:val="0"/>
                          <w:marRight w:val="0"/>
                          <w:marTop w:val="0"/>
                          <w:marBottom w:val="75"/>
                          <w:divBdr>
                            <w:top w:val="none" w:sz="0" w:space="0" w:color="auto"/>
                            <w:left w:val="none" w:sz="0" w:space="0" w:color="auto"/>
                            <w:bottom w:val="none" w:sz="0" w:space="0" w:color="auto"/>
                            <w:right w:val="none" w:sz="0" w:space="0" w:color="auto"/>
                          </w:divBdr>
                        </w:div>
                      </w:divsChild>
                    </w:div>
                    <w:div w:id="1017775141">
                      <w:marLeft w:val="0"/>
                      <w:marRight w:val="0"/>
                      <w:marTop w:val="0"/>
                      <w:marBottom w:val="0"/>
                      <w:divBdr>
                        <w:top w:val="none" w:sz="0" w:space="0" w:color="auto"/>
                        <w:left w:val="none" w:sz="0" w:space="0" w:color="auto"/>
                        <w:bottom w:val="none" w:sz="0" w:space="0" w:color="auto"/>
                        <w:right w:val="none" w:sz="0" w:space="0" w:color="auto"/>
                      </w:divBdr>
                      <w:divsChild>
                        <w:div w:id="667177748">
                          <w:marLeft w:val="0"/>
                          <w:marRight w:val="0"/>
                          <w:marTop w:val="0"/>
                          <w:marBottom w:val="0"/>
                          <w:divBdr>
                            <w:top w:val="none" w:sz="0" w:space="0" w:color="auto"/>
                            <w:left w:val="none" w:sz="0" w:space="0" w:color="auto"/>
                            <w:bottom w:val="none" w:sz="0" w:space="0" w:color="auto"/>
                            <w:right w:val="none" w:sz="0" w:space="0" w:color="auto"/>
                          </w:divBdr>
                          <w:divsChild>
                            <w:div w:id="569998744">
                              <w:marLeft w:val="0"/>
                              <w:marRight w:val="0"/>
                              <w:marTop w:val="0"/>
                              <w:marBottom w:val="0"/>
                              <w:divBdr>
                                <w:top w:val="none" w:sz="0" w:space="0" w:color="auto"/>
                                <w:left w:val="none" w:sz="0" w:space="0" w:color="auto"/>
                                <w:bottom w:val="none" w:sz="0" w:space="0" w:color="auto"/>
                                <w:right w:val="none" w:sz="0" w:space="0" w:color="auto"/>
                              </w:divBdr>
                              <w:divsChild>
                                <w:div w:id="1806577478">
                                  <w:marLeft w:val="0"/>
                                  <w:marRight w:val="0"/>
                                  <w:marTop w:val="0"/>
                                  <w:marBottom w:val="0"/>
                                  <w:divBdr>
                                    <w:top w:val="none" w:sz="0" w:space="0" w:color="auto"/>
                                    <w:left w:val="none" w:sz="0" w:space="0" w:color="auto"/>
                                    <w:bottom w:val="none" w:sz="0" w:space="0" w:color="auto"/>
                                    <w:right w:val="none" w:sz="0" w:space="0" w:color="auto"/>
                                  </w:divBdr>
                                </w:div>
                              </w:divsChild>
                            </w:div>
                            <w:div w:id="1254313074">
                              <w:marLeft w:val="0"/>
                              <w:marRight w:val="0"/>
                              <w:marTop w:val="0"/>
                              <w:marBottom w:val="225"/>
                              <w:divBdr>
                                <w:top w:val="none" w:sz="0" w:space="0" w:color="auto"/>
                                <w:left w:val="none" w:sz="0" w:space="0" w:color="auto"/>
                                <w:bottom w:val="none" w:sz="0" w:space="0" w:color="auto"/>
                                <w:right w:val="none" w:sz="0" w:space="0" w:color="auto"/>
                              </w:divBdr>
                            </w:div>
                            <w:div w:id="1268542166">
                              <w:marLeft w:val="0"/>
                              <w:marRight w:val="0"/>
                              <w:marTop w:val="0"/>
                              <w:marBottom w:val="150"/>
                              <w:divBdr>
                                <w:top w:val="none" w:sz="0" w:space="0" w:color="auto"/>
                                <w:left w:val="none" w:sz="0" w:space="0" w:color="auto"/>
                                <w:bottom w:val="none" w:sz="0" w:space="0" w:color="auto"/>
                                <w:right w:val="none" w:sz="0" w:space="0" w:color="auto"/>
                              </w:divBdr>
                            </w:div>
                            <w:div w:id="610629854">
                              <w:marLeft w:val="0"/>
                              <w:marRight w:val="0"/>
                              <w:marTop w:val="0"/>
                              <w:marBottom w:val="300"/>
                              <w:divBdr>
                                <w:top w:val="none" w:sz="0" w:space="0" w:color="auto"/>
                                <w:left w:val="none" w:sz="0" w:space="0" w:color="auto"/>
                                <w:bottom w:val="none" w:sz="0" w:space="0" w:color="auto"/>
                                <w:right w:val="none" w:sz="0" w:space="0" w:color="auto"/>
                              </w:divBdr>
                            </w:div>
                            <w:div w:id="846939188">
                              <w:marLeft w:val="0"/>
                              <w:marRight w:val="0"/>
                              <w:marTop w:val="0"/>
                              <w:marBottom w:val="750"/>
                              <w:divBdr>
                                <w:top w:val="none" w:sz="0" w:space="0" w:color="auto"/>
                                <w:left w:val="none" w:sz="0" w:space="0" w:color="auto"/>
                                <w:bottom w:val="none" w:sz="0" w:space="0" w:color="auto"/>
                                <w:right w:val="none" w:sz="0" w:space="0" w:color="auto"/>
                              </w:divBdr>
                              <w:divsChild>
                                <w:div w:id="212634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827032">
                  <w:marLeft w:val="0"/>
                  <w:marRight w:val="0"/>
                  <w:marTop w:val="0"/>
                  <w:marBottom w:val="0"/>
                  <w:divBdr>
                    <w:top w:val="none" w:sz="0" w:space="0" w:color="auto"/>
                    <w:left w:val="none" w:sz="0" w:space="0" w:color="auto"/>
                    <w:bottom w:val="none" w:sz="0" w:space="0" w:color="auto"/>
                    <w:right w:val="none" w:sz="0" w:space="0" w:color="auto"/>
                  </w:divBdr>
                  <w:divsChild>
                    <w:div w:id="2101565629">
                      <w:marLeft w:val="0"/>
                      <w:marRight w:val="0"/>
                      <w:marTop w:val="0"/>
                      <w:marBottom w:val="0"/>
                      <w:divBdr>
                        <w:top w:val="none" w:sz="0" w:space="0" w:color="auto"/>
                        <w:left w:val="none" w:sz="0" w:space="0" w:color="auto"/>
                        <w:bottom w:val="none" w:sz="0" w:space="0" w:color="auto"/>
                        <w:right w:val="none" w:sz="0" w:space="0" w:color="auto"/>
                      </w:divBdr>
                      <w:divsChild>
                        <w:div w:id="1709066909">
                          <w:marLeft w:val="0"/>
                          <w:marRight w:val="0"/>
                          <w:marTop w:val="0"/>
                          <w:marBottom w:val="0"/>
                          <w:divBdr>
                            <w:top w:val="single" w:sz="6" w:space="1" w:color="1871BD"/>
                            <w:left w:val="single" w:sz="6" w:space="1" w:color="1871BD"/>
                            <w:bottom w:val="single" w:sz="6" w:space="1" w:color="1871BD"/>
                            <w:right w:val="single" w:sz="6" w:space="1" w:color="1871BD"/>
                          </w:divBdr>
                        </w:div>
                      </w:divsChild>
                    </w:div>
                  </w:divsChild>
                </w:div>
              </w:divsChild>
            </w:div>
          </w:divsChild>
        </w:div>
        <w:div w:id="1890337106">
          <w:marLeft w:val="0"/>
          <w:marRight w:val="0"/>
          <w:marTop w:val="150"/>
          <w:marBottom w:val="0"/>
          <w:divBdr>
            <w:top w:val="none" w:sz="0" w:space="0" w:color="auto"/>
            <w:left w:val="none" w:sz="0" w:space="0" w:color="auto"/>
            <w:bottom w:val="none" w:sz="0" w:space="0" w:color="auto"/>
            <w:right w:val="none" w:sz="0" w:space="0" w:color="auto"/>
          </w:divBdr>
          <w:divsChild>
            <w:div w:id="138347403">
              <w:marLeft w:val="0"/>
              <w:marRight w:val="0"/>
              <w:marTop w:val="0"/>
              <w:marBottom w:val="0"/>
              <w:divBdr>
                <w:top w:val="none" w:sz="0" w:space="0" w:color="auto"/>
                <w:left w:val="none" w:sz="0" w:space="0" w:color="auto"/>
                <w:bottom w:val="none" w:sz="0" w:space="0" w:color="auto"/>
                <w:right w:val="none" w:sz="0" w:space="0" w:color="auto"/>
              </w:divBdr>
              <w:divsChild>
                <w:div w:id="1652715915">
                  <w:marLeft w:val="0"/>
                  <w:marRight w:val="0"/>
                  <w:marTop w:val="0"/>
                  <w:marBottom w:val="0"/>
                  <w:divBdr>
                    <w:top w:val="none" w:sz="0" w:space="0" w:color="auto"/>
                    <w:left w:val="none" w:sz="0" w:space="0" w:color="auto"/>
                    <w:bottom w:val="none" w:sz="0" w:space="0" w:color="auto"/>
                    <w:right w:val="none" w:sz="0" w:space="0" w:color="auto"/>
                  </w:divBdr>
                  <w:divsChild>
                    <w:div w:id="1558085122">
                      <w:marLeft w:val="0"/>
                      <w:marRight w:val="0"/>
                      <w:marTop w:val="0"/>
                      <w:marBottom w:val="0"/>
                      <w:divBdr>
                        <w:top w:val="none" w:sz="0" w:space="0" w:color="auto"/>
                        <w:left w:val="none" w:sz="0" w:space="0" w:color="auto"/>
                        <w:bottom w:val="none" w:sz="0" w:space="0" w:color="auto"/>
                        <w:right w:val="none" w:sz="0" w:space="0" w:color="auto"/>
                      </w:divBdr>
                    </w:div>
                    <w:div w:id="12952133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uv.bj/en/index.php" TargetMode="External"/><Relationship Id="rId5" Type="http://schemas.openxmlformats.org/officeDocument/2006/relationships/hyperlink" Target="mailto:info@opic.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2194</Words>
  <Characters>12511</Characters>
  <Application>Microsoft Office Word</Application>
  <DocSecurity>0</DocSecurity>
  <Lines>104</Lines>
  <Paragraphs>29</Paragraphs>
  <ScaleCrop>false</ScaleCrop>
  <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2022-08-30T16:41:00Z</dcterms:created>
  <dcterms:modified xsi:type="dcterms:W3CDTF">2022-08-30T16:44:00Z</dcterms:modified>
</cp:coreProperties>
</file>