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EFB" w:rsidRPr="006E4EFB" w:rsidRDefault="006E4EFB" w:rsidP="006E4EFB">
      <w:pPr>
        <w:spacing w:after="150" w:line="240" w:lineRule="auto"/>
        <w:rPr>
          <w:rFonts w:ascii="Arial" w:eastAsia="Times New Roman" w:hAnsi="Arial" w:cs="Arial"/>
          <w:b/>
          <w:bCs/>
          <w:color w:val="494949"/>
          <w:sz w:val="18"/>
          <w:szCs w:val="18"/>
        </w:rPr>
      </w:pPr>
      <w:r w:rsidRPr="006E4EFB">
        <w:rPr>
          <w:rFonts w:ascii="Arial" w:eastAsia="Times New Roman" w:hAnsi="Arial" w:cs="Arial"/>
          <w:b/>
          <w:bCs/>
          <w:color w:val="494949"/>
          <w:sz w:val="18"/>
          <w:szCs w:val="18"/>
        </w:rPr>
        <w:t>Thuơng Vụ - Đại Sứ Quán Việt nam tại Kuwait xin giới thiệu nghiên cứu tổng quát tình hình Kuwait và quan hệ kinh tế- thương mại Việt nam -Kuwait trong 6 tháng đầu năm 2011 để bạn đọc quan tâm tham khảo :</w:t>
      </w:r>
    </w:p>
    <w:p w:rsidR="006E4EFB" w:rsidRPr="006E4EFB" w:rsidRDefault="006E4EFB" w:rsidP="006E4EFB">
      <w:pPr>
        <w:spacing w:after="0" w:line="240" w:lineRule="auto"/>
        <w:jc w:val="center"/>
        <w:rPr>
          <w:rFonts w:ascii="Arial" w:eastAsia="Times New Roman" w:hAnsi="Arial" w:cs="Arial"/>
          <w:color w:val="494949"/>
          <w:sz w:val="18"/>
          <w:szCs w:val="18"/>
        </w:rPr>
      </w:pPr>
      <w:r w:rsidRPr="006E4EFB">
        <w:rPr>
          <w:rFonts w:ascii="Arial" w:eastAsia="Times New Roman" w:hAnsi="Arial" w:cs="Arial"/>
          <w:noProof/>
          <w:color w:val="494949"/>
          <w:sz w:val="18"/>
          <w:szCs w:val="18"/>
        </w:rPr>
        <w:drawing>
          <wp:inline distT="0" distB="0" distL="0" distR="0">
            <wp:extent cx="4286250" cy="2905125"/>
            <wp:effectExtent l="0" t="0" r="0" b="9525"/>
            <wp:docPr id="2" name="Picture 2" descr="http://phienbancu.vietnamexport.com/uploads/images/0403201468837/Hs1a4eDUnwhzEm9rq0x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hienbancu.vietnamexport.com/uploads/images/0403201468837/Hs1a4eDUnwhzEm9rq0xR.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86250" cy="2905125"/>
                    </a:xfrm>
                    <a:prstGeom prst="rect">
                      <a:avLst/>
                    </a:prstGeom>
                    <a:noFill/>
                    <a:ln>
                      <a:noFill/>
                    </a:ln>
                  </pic:spPr>
                </pic:pic>
              </a:graphicData>
            </a:graphic>
          </wp:inline>
        </w:drawing>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b/>
          <w:bCs/>
          <w:color w:val="494949"/>
          <w:sz w:val="18"/>
          <w:szCs w:val="18"/>
        </w:rPr>
        <w:t>  Kuwait :</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b/>
          <w:bCs/>
          <w:color w:val="494949"/>
          <w:sz w:val="18"/>
          <w:szCs w:val="18"/>
        </w:rPr>
        <w:t>           1 – về chính trị  </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color w:val="494949"/>
          <w:sz w:val="18"/>
          <w:szCs w:val="18"/>
        </w:rPr>
        <w:t>           Theo nguồn tin từ các báo ARAB TIMES :        Sự kiện chính trị nổi bật là giải tán chính phủ trước đó và thành lập chính phủ mới vào ngày 8/5/2011 được coi là thường xuyên xảy ra do mâu thuẫn lâu dài giữa chính phủ và một số nghị sỹ quốc hội đối lập . Nội các chính phủ mới không còn tên Bộ trưởng dầu mỏ và Bộ trưởng thương mại &amp; công nghiệp cũ nhưng không làm dịu sự phản đối của một số nghị sỹ đối lập trong quốc hội . Sự phản đối chính phủ thể hiện bằng cách chất vấn Thủ Tướng một cách căng thẳng và tổ chức lực lượng thanh niên , sinh viên, học sinh biểu tình trước quốc hội đòi Thủ Tướng từ chức , xung đột giữa các nhóm xảy ra vào thứ 6 hàng tuần buộc cảnh sát phải can thiệp . Tuy nhiên tình hình chính trị và an ninh xã hội tại Kuwait vẫn ổn định hơn nhiều so với các nước trong khu vực .</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b/>
          <w:bCs/>
          <w:color w:val="494949"/>
          <w:sz w:val="18"/>
          <w:szCs w:val="18"/>
        </w:rPr>
        <w:t>          2 – Về kinh tế  </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color w:val="494949"/>
          <w:sz w:val="18"/>
          <w:szCs w:val="18"/>
        </w:rPr>
        <w:t>               -   Theo dự báo của Ngân hàng trung ương Kuwait : GDP thực tế của Kuwait trong năm tài chính 2011 đạt 4,7 % và tỷ lệ lạm phát CPI gần 4,7% . Nhưng theo dự báo của IMF : GDP thực tế của Kuwait sẽ đạt 5,2% trong năm 2011 . Nền kinh tế Kuwait dự kiến ​​sẽ phát triển bền vững trong năm 2011 và trong trung hạn vìchính phủ thực hiện kế hoạch phát triển và sựphụchồi kinh tế toàn cầu đãhỗ trợ nhu cầu về dầumỏ .</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color w:val="494949"/>
          <w:sz w:val="18"/>
          <w:szCs w:val="18"/>
        </w:rPr>
        <w:t>           Kuwait hy vọng sẽ thu hút đầu tưnước ngoài  nhiều hơn để chuẩn bị cho thời điểm  xuất khẩu dầu ra ngoài. Cho đến nay , ngành kinh tế dầu mỏ Kuwait với 133tỷ USD , trong đó các ngành công nghiệp dầu khí nhà nướclà chủ nhân lớn nhất ,chiếm ưu thế tuyệt đối ,sau đó là ngànhdịch vụ công cộng.</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color w:val="494949"/>
          <w:sz w:val="18"/>
          <w:szCs w:val="18"/>
        </w:rPr>
        <w:t>       Nguồn từ văn phòng Ngân Hàng Trung Ương và Cơ Quan Truyền Thông Nhà Nước Kuwait – KUNA cho biết :      </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color w:val="494949"/>
          <w:sz w:val="18"/>
          <w:szCs w:val="18"/>
        </w:rPr>
        <w:t>     Thặng dưròngngân sáchcủa KuwaitĐạt 6,5 tỷdinar (23,5tỷ USD) trong năm tài chính 2010/11 ,vì thu nhậpdầu tăng, trong khi chi tiêu vẫn thấp hơnkế hoạchdự kiếnban đầu. Số liệu thặng dư này được ấn định sau khiđãchuyển giao 10 phần trăm cho  quỹ Phát triển vìcác thế hệ tương laiKuwait và choquỹquản lý sản xuất của cải thuộc chủ quyền OPEC.</w:t>
      </w:r>
      <w:r w:rsidRPr="006E4EFB">
        <w:rPr>
          <w:rFonts w:ascii="Arial" w:eastAsia="Times New Roman" w:hAnsi="Arial" w:cs="Arial"/>
          <w:color w:val="494949"/>
          <w:sz w:val="18"/>
          <w:szCs w:val="18"/>
        </w:rPr>
        <w:br/>
        <w:t>   Trước khi chuyển giaocho các quĩ , thặng dư tài chính của Kuwait đạt 8,5tỷ Kwdinar, tương đưong 30,79 tỷ USD ,haybằng  23,1 % của tổng sản phẩm trong nước Kuwait(GDP) .Như vậy , thặng dư ngân sách tăng lên so với  6,4 tỷ Kw dinar( 22,06 tỷ USD ) đạt được​​trong năm tài chính trước đó.</w:t>
      </w:r>
      <w:r w:rsidRPr="006E4EFB">
        <w:rPr>
          <w:rFonts w:ascii="Arial" w:eastAsia="Times New Roman" w:hAnsi="Arial" w:cs="Arial"/>
          <w:color w:val="494949"/>
          <w:sz w:val="18"/>
          <w:szCs w:val="18"/>
        </w:rPr>
        <w:br/>
        <w:t>     Trả lời câu hỏi của Reutes tháng 3 /2011 ,các nhà phân tích kinh tế dự báo rằng lĩnh vực xuất khẩu dầu thô lớn thứ tưthế giới này sẽ đạtmức thặng dư 19,8 phần trămcủaGDPtrong năm 2011.</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color w:val="494949"/>
          <w:sz w:val="18"/>
          <w:szCs w:val="18"/>
        </w:rPr>
        <w:t>      Chitiêu chỉ  đứng ởmức 12,4 tỷ dinar(44,28 tỷ USD )  trongnăm tài chính 2010/11 ,năm tài chính kết thúc vào tháng bahàng năm, và thấp hơnkế hoạch ban đầu là16,3 tỷ dinar( 58,21 tỷ USD ).</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b/>
          <w:bCs/>
          <w:color w:val="494949"/>
          <w:sz w:val="18"/>
          <w:szCs w:val="18"/>
        </w:rPr>
        <w:t>      - Trao đổi thương mại của Kuwait với thế giới :</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color w:val="494949"/>
          <w:sz w:val="18"/>
          <w:szCs w:val="18"/>
        </w:rPr>
        <w:t>           Theo số liệu chưa công bố chính thức của cơ quan thống kê Kuwait , tổng kim ngạch xuất – nhập khẩu của Kuwait với thế giới trong quí I-2011 đạt khoảng 16 tỷ USD, trong đó Kim ngạch xuất khẩu đạt khoảng 14,5 tỷ USD ( chủ yếu xuất khẩu dầu mỏ ) ., Kim ngạch nhập khẩu đạt khoảng  1,5 tỷ USD ( chủ yếu nhập khẩu hàng tiêu dùng và thiết bị công nghiệp hóa dầu ).</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b/>
          <w:bCs/>
          <w:color w:val="494949"/>
          <w:sz w:val="18"/>
          <w:szCs w:val="18"/>
        </w:rPr>
        <w:t>     - Trao đổi thương mại giữa Kuwait với Việt Nam :</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color w:val="494949"/>
          <w:sz w:val="18"/>
          <w:szCs w:val="18"/>
        </w:rPr>
        <w:t>          Theo số liệu của Hải quan Việt nam và Hải quan Kuwait , tổng kim ngạch xuất nhập khẩu hai chiều  giữa Việt Nam – Kuwait trong 5 tháng đầu  2011 đạt : </w:t>
      </w:r>
      <w:r w:rsidRPr="006E4EFB">
        <w:rPr>
          <w:rFonts w:ascii="Arial" w:eastAsia="Times New Roman" w:hAnsi="Arial" w:cs="Arial"/>
          <w:b/>
          <w:bCs/>
          <w:color w:val="494949"/>
          <w:sz w:val="18"/>
          <w:szCs w:val="18"/>
        </w:rPr>
        <w:t>422 triệu USD tăng 142,5 % so cùng kỳ năm 2010 . </w:t>
      </w:r>
      <w:r w:rsidRPr="006E4EFB">
        <w:rPr>
          <w:rFonts w:ascii="Arial" w:eastAsia="Times New Roman" w:hAnsi="Arial" w:cs="Arial"/>
          <w:color w:val="494949"/>
          <w:sz w:val="18"/>
          <w:szCs w:val="18"/>
        </w:rPr>
        <w:t>Trong đó :</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color w:val="494949"/>
          <w:sz w:val="18"/>
          <w:szCs w:val="18"/>
        </w:rPr>
        <w:t>    + Việt Nam xuất khẩu sang Kuwait đạt :           </w:t>
      </w:r>
      <w:r w:rsidRPr="006E4EFB">
        <w:rPr>
          <w:rFonts w:ascii="Arial" w:eastAsia="Times New Roman" w:hAnsi="Arial" w:cs="Arial"/>
          <w:b/>
          <w:bCs/>
          <w:color w:val="494949"/>
          <w:sz w:val="18"/>
          <w:szCs w:val="18"/>
        </w:rPr>
        <w:t>14 triệu USD</w:t>
      </w:r>
      <w:r w:rsidRPr="006E4EFB">
        <w:rPr>
          <w:rFonts w:ascii="Arial" w:eastAsia="Times New Roman" w:hAnsi="Arial" w:cs="Arial"/>
          <w:color w:val="494949"/>
          <w:sz w:val="18"/>
          <w:szCs w:val="18"/>
        </w:rPr>
        <w:t>  </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color w:val="494949"/>
          <w:sz w:val="18"/>
          <w:szCs w:val="18"/>
        </w:rPr>
        <w:t>    +  Việt nam nhập khẩu từ Kuwait đạt    </w:t>
      </w:r>
      <w:r w:rsidRPr="006E4EFB">
        <w:rPr>
          <w:rFonts w:ascii="Arial" w:eastAsia="Times New Roman" w:hAnsi="Arial" w:cs="Arial"/>
          <w:b/>
          <w:bCs/>
          <w:color w:val="494949"/>
          <w:sz w:val="18"/>
          <w:szCs w:val="18"/>
        </w:rPr>
        <w:t>:         408 triệu USD </w:t>
      </w:r>
      <w:r w:rsidRPr="006E4EFB">
        <w:rPr>
          <w:rFonts w:ascii="Arial" w:eastAsia="Times New Roman" w:hAnsi="Arial" w:cs="Arial"/>
          <w:color w:val="494949"/>
          <w:sz w:val="18"/>
          <w:szCs w:val="18"/>
        </w:rPr>
        <w:t>tăng trưởng 142,5 % so cùng kỳ năm 2010 .</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color w:val="494949"/>
          <w:sz w:val="18"/>
          <w:szCs w:val="18"/>
        </w:rPr>
        <w:t>    +  Các mặt hàng Việt nam xuất khẩu sang Kuwait quí I/2011 gồm : USD</w:t>
      </w:r>
    </w:p>
    <w:p w:rsidR="006E4EFB" w:rsidRPr="006E4EFB" w:rsidRDefault="006E4EFB" w:rsidP="006E4EFB">
      <w:pPr>
        <w:spacing w:line="240" w:lineRule="auto"/>
        <w:jc w:val="both"/>
        <w:rPr>
          <w:rFonts w:ascii="Arial" w:eastAsia="Times New Roman" w:hAnsi="Arial" w:cs="Arial"/>
          <w:color w:val="494949"/>
          <w:sz w:val="18"/>
          <w:szCs w:val="18"/>
        </w:rPr>
      </w:pPr>
      <w:r w:rsidRPr="006E4EFB">
        <w:rPr>
          <w:rFonts w:ascii="Arial" w:eastAsia="Times New Roman" w:hAnsi="Arial" w:cs="Arial"/>
          <w:color w:val="494949"/>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3307"/>
        <w:gridCol w:w="1080"/>
        <w:gridCol w:w="1214"/>
        <w:gridCol w:w="1626"/>
        <w:gridCol w:w="1845"/>
      </w:tblGrid>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lastRenderedPageBreak/>
              <w:t>Sữa &amp; sản phẩm sữa</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2,380,435</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Hàng Hải sản</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1,854,833</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Gỗ &amp; sản phẩm gỗ</w:t>
            </w:r>
          </w:p>
        </w:tc>
        <w:tc>
          <w:tcPr>
            <w:tcW w:w="1359"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716,139</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Hàng rau quả</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435,764</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Hạt Tiêu</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Tấn</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59</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320,500</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Cơm dừa sấy khô</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261,025</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Hàng hoá khác</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184,444</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Bánh, kẹo &amp; sản phẩm từ ngũ cốc</w:t>
            </w:r>
          </w:p>
        </w:tc>
        <w:tc>
          <w:tcPr>
            <w:tcW w:w="1359"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172,062</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Điện thoại di động và linh kiện</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106,943</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Gạo</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Tấn</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125</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106,000</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Hoá chất</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87,500</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Sản phẩm chất dẻo</w:t>
            </w:r>
          </w:p>
        </w:tc>
        <w:tc>
          <w:tcPr>
            <w:tcW w:w="1359"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61,366</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Que, dây hàn</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56,593</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Sắt thép các loại</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Tấn</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60</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46,619</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Giày dép các loại</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37,988</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Nước uống các loại đóng chai (mã 2202)</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30,740</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Sản phấm sắt thép</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29,543</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Sản phẩm mây, tre, cói &amp; thảm</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24,078</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Nguyên phụ liệu dệt may, da &amp; giày</w:t>
            </w:r>
          </w:p>
        </w:tc>
        <w:tc>
          <w:tcPr>
            <w:tcW w:w="1359"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21,819</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Sản phẩm gốm, sứ</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21,192</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Chè</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Tấn</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19</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15,120</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Máy móc thiết bị, dụng cụ &amp; phụ tùng</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13,926</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Vải</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12,506</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Kính xây dựng</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11,971</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Túi xách, ví, vali, mũ &amp; ô dù</w:t>
            </w:r>
          </w:p>
        </w:tc>
        <w:tc>
          <w:tcPr>
            <w:tcW w:w="1359"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9,013</w:t>
            </w:r>
          </w:p>
        </w:tc>
        <w:tc>
          <w:tcPr>
            <w:tcW w:w="1845"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96"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Sản phẩm dệt may</w:t>
            </w:r>
          </w:p>
        </w:tc>
        <w:tc>
          <w:tcPr>
            <w:tcW w:w="1359"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USD</w:t>
            </w:r>
          </w:p>
        </w:tc>
        <w:tc>
          <w:tcPr>
            <w:tcW w:w="1613"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93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1,019</w:t>
            </w:r>
          </w:p>
        </w:tc>
        <w:tc>
          <w:tcPr>
            <w:tcW w:w="1845" w:type="dxa"/>
            <w:noWrap/>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b/>
                <w:bCs/>
                <w:i/>
                <w:iCs/>
                <w:sz w:val="24"/>
                <w:szCs w:val="24"/>
              </w:rPr>
              <w:t>7,019,138</w:t>
            </w:r>
          </w:p>
        </w:tc>
      </w:tr>
    </w:tbl>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color w:val="494949"/>
          <w:sz w:val="18"/>
          <w:szCs w:val="18"/>
        </w:rPr>
        <w:t> </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color w:val="494949"/>
          <w:sz w:val="18"/>
          <w:szCs w:val="18"/>
        </w:rPr>
        <w:t>      + Các mặt hàng Việt nam nhập khẩu từ Kuwait gồm : USD</w:t>
      </w:r>
    </w:p>
    <w:p w:rsidR="006E4EFB" w:rsidRPr="006E4EFB" w:rsidRDefault="006E4EFB" w:rsidP="006E4EFB">
      <w:pPr>
        <w:spacing w:line="240" w:lineRule="auto"/>
        <w:jc w:val="both"/>
        <w:rPr>
          <w:rFonts w:ascii="Arial" w:eastAsia="Times New Roman" w:hAnsi="Arial" w:cs="Arial"/>
          <w:color w:val="494949"/>
          <w:sz w:val="18"/>
          <w:szCs w:val="18"/>
        </w:rPr>
      </w:pPr>
      <w:r w:rsidRPr="006E4EFB">
        <w:rPr>
          <w:rFonts w:ascii="Arial" w:eastAsia="Times New Roman" w:hAnsi="Arial" w:cs="Arial"/>
          <w:color w:val="494949"/>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3103"/>
        <w:gridCol w:w="1427"/>
        <w:gridCol w:w="1208"/>
        <w:gridCol w:w="1385"/>
        <w:gridCol w:w="1949"/>
      </w:tblGrid>
      <w:tr w:rsidR="006E4EFB" w:rsidRPr="006E4EFB" w:rsidTr="006E4EFB">
        <w:trPr>
          <w:trHeight w:val="300"/>
          <w:tblCellSpacing w:w="0" w:type="dxa"/>
        </w:trPr>
        <w:tc>
          <w:tcPr>
            <w:tcW w:w="4421"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Dầu DO</w:t>
            </w:r>
          </w:p>
        </w:tc>
        <w:tc>
          <w:tcPr>
            <w:tcW w:w="1948"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Tấn</w:t>
            </w:r>
          </w:p>
        </w:tc>
        <w:tc>
          <w:tcPr>
            <w:tcW w:w="1444"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194,757</w:t>
            </w:r>
          </w:p>
        </w:tc>
        <w:tc>
          <w:tcPr>
            <w:tcW w:w="148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167,436,578</w:t>
            </w:r>
          </w:p>
        </w:tc>
        <w:tc>
          <w:tcPr>
            <w:tcW w:w="1949"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21"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Khí đốt hóa lỏng</w:t>
            </w:r>
          </w:p>
        </w:tc>
        <w:tc>
          <w:tcPr>
            <w:tcW w:w="1948"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Tấn</w:t>
            </w:r>
          </w:p>
        </w:tc>
        <w:tc>
          <w:tcPr>
            <w:tcW w:w="1444"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19,090</w:t>
            </w:r>
          </w:p>
        </w:tc>
        <w:tc>
          <w:tcPr>
            <w:tcW w:w="148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16,467,039</w:t>
            </w:r>
          </w:p>
        </w:tc>
        <w:tc>
          <w:tcPr>
            <w:tcW w:w="1949"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21"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Chất dẻo nguyên liệu</w:t>
            </w:r>
          </w:p>
        </w:tc>
        <w:tc>
          <w:tcPr>
            <w:tcW w:w="1948"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Tấn</w:t>
            </w:r>
          </w:p>
        </w:tc>
        <w:tc>
          <w:tcPr>
            <w:tcW w:w="1444"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2,532</w:t>
            </w:r>
          </w:p>
        </w:tc>
        <w:tc>
          <w:tcPr>
            <w:tcW w:w="148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3,476,805</w:t>
            </w:r>
          </w:p>
        </w:tc>
        <w:tc>
          <w:tcPr>
            <w:tcW w:w="1949"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21"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Sản phẩm từ dầu mỏ khác</w:t>
            </w:r>
          </w:p>
        </w:tc>
        <w:tc>
          <w:tcPr>
            <w:tcW w:w="1948"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444"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48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3,353,600</w:t>
            </w:r>
          </w:p>
        </w:tc>
        <w:tc>
          <w:tcPr>
            <w:tcW w:w="1949"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21"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Sắt thép các loại</w:t>
            </w:r>
          </w:p>
        </w:tc>
        <w:tc>
          <w:tcPr>
            <w:tcW w:w="1948"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Tấn</w:t>
            </w:r>
          </w:p>
        </w:tc>
        <w:tc>
          <w:tcPr>
            <w:tcW w:w="1444"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4,569</w:t>
            </w:r>
          </w:p>
        </w:tc>
        <w:tc>
          <w:tcPr>
            <w:tcW w:w="148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3,289,918</w:t>
            </w:r>
          </w:p>
        </w:tc>
        <w:tc>
          <w:tcPr>
            <w:tcW w:w="1949"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21"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Lưu huỳnh</w:t>
            </w:r>
          </w:p>
        </w:tc>
        <w:tc>
          <w:tcPr>
            <w:tcW w:w="1948"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Tấn</w:t>
            </w:r>
          </w:p>
        </w:tc>
        <w:tc>
          <w:tcPr>
            <w:tcW w:w="1444"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12,650</w:t>
            </w:r>
          </w:p>
        </w:tc>
        <w:tc>
          <w:tcPr>
            <w:tcW w:w="148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2,928,475</w:t>
            </w:r>
          </w:p>
        </w:tc>
        <w:tc>
          <w:tcPr>
            <w:tcW w:w="1949" w:type="dxa"/>
            <w:noWrap/>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 </w:t>
            </w:r>
          </w:p>
        </w:tc>
      </w:tr>
      <w:tr w:rsidR="006E4EFB" w:rsidRPr="006E4EFB" w:rsidTr="006E4EFB">
        <w:trPr>
          <w:trHeight w:val="300"/>
          <w:tblCellSpacing w:w="0" w:type="dxa"/>
        </w:trPr>
        <w:tc>
          <w:tcPr>
            <w:tcW w:w="4421" w:type="dxa"/>
            <w:vAlign w:val="center"/>
            <w:hideMark/>
          </w:tcPr>
          <w:p w:rsidR="006E4EFB" w:rsidRPr="006E4EFB" w:rsidRDefault="006E4EFB" w:rsidP="006E4EFB">
            <w:pPr>
              <w:spacing w:after="0" w:line="240" w:lineRule="auto"/>
              <w:rPr>
                <w:rFonts w:eastAsia="Times New Roman" w:cs="Times New Roman"/>
                <w:sz w:val="24"/>
                <w:szCs w:val="24"/>
              </w:rPr>
            </w:pPr>
            <w:r w:rsidRPr="006E4EFB">
              <w:rPr>
                <w:rFonts w:eastAsia="Times New Roman" w:cs="Times New Roman"/>
                <w:sz w:val="24"/>
                <w:szCs w:val="24"/>
              </w:rPr>
              <w:t>Sắt thép phế liệu</w:t>
            </w:r>
          </w:p>
        </w:tc>
        <w:tc>
          <w:tcPr>
            <w:tcW w:w="1948" w:type="dxa"/>
            <w:vAlign w:val="center"/>
            <w:hideMark/>
          </w:tcPr>
          <w:p w:rsidR="006E4EFB" w:rsidRPr="006E4EFB" w:rsidRDefault="006E4EFB" w:rsidP="006E4EFB">
            <w:pPr>
              <w:spacing w:after="0" w:line="240" w:lineRule="auto"/>
              <w:jc w:val="center"/>
              <w:rPr>
                <w:rFonts w:eastAsia="Times New Roman" w:cs="Times New Roman"/>
                <w:sz w:val="24"/>
                <w:szCs w:val="24"/>
              </w:rPr>
            </w:pPr>
            <w:r w:rsidRPr="006E4EFB">
              <w:rPr>
                <w:rFonts w:eastAsia="Times New Roman" w:cs="Times New Roman"/>
                <w:sz w:val="24"/>
                <w:szCs w:val="24"/>
              </w:rPr>
              <w:t>USD</w:t>
            </w:r>
          </w:p>
        </w:tc>
        <w:tc>
          <w:tcPr>
            <w:tcW w:w="1444"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 </w:t>
            </w:r>
          </w:p>
        </w:tc>
        <w:tc>
          <w:tcPr>
            <w:tcW w:w="1487" w:type="dxa"/>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sz w:val="24"/>
                <w:szCs w:val="24"/>
              </w:rPr>
              <w:t>1,847,620</w:t>
            </w:r>
          </w:p>
        </w:tc>
        <w:tc>
          <w:tcPr>
            <w:tcW w:w="1949" w:type="dxa"/>
            <w:noWrap/>
            <w:vAlign w:val="center"/>
            <w:hideMark/>
          </w:tcPr>
          <w:p w:rsidR="006E4EFB" w:rsidRPr="006E4EFB" w:rsidRDefault="006E4EFB" w:rsidP="006E4EFB">
            <w:pPr>
              <w:spacing w:after="0" w:line="240" w:lineRule="auto"/>
              <w:jc w:val="right"/>
              <w:rPr>
                <w:rFonts w:eastAsia="Times New Roman" w:cs="Times New Roman"/>
                <w:sz w:val="24"/>
                <w:szCs w:val="24"/>
              </w:rPr>
            </w:pPr>
            <w:r w:rsidRPr="006E4EFB">
              <w:rPr>
                <w:rFonts w:eastAsia="Times New Roman" w:cs="Times New Roman"/>
                <w:b/>
                <w:bCs/>
                <w:i/>
                <w:iCs/>
                <w:sz w:val="24"/>
                <w:szCs w:val="24"/>
              </w:rPr>
              <w:t>198,800,035</w:t>
            </w:r>
          </w:p>
        </w:tc>
      </w:tr>
    </w:tbl>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color w:val="494949"/>
          <w:sz w:val="18"/>
          <w:szCs w:val="18"/>
        </w:rPr>
        <w:t>  ( Nguồn : Hải Quan Việt nam &amp; Kuwait quí I/2011 )</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color w:val="494949"/>
          <w:sz w:val="18"/>
          <w:szCs w:val="18"/>
        </w:rPr>
        <w:t>   -  Thưc hiện chỉ đạo của Bộ Công Thương, bộ phận Thương Vụ Viêt Nam tại Kuwait đã phối hợp chặt chẽ với Đại Sứ Quán Việt nam tại Kuwait , Vụ Khu Vực 4 , Vụ Hợp Tác Quốc tế Bộ Công Thương tổ chức thành công tốt đẹp cho đoàn cấp cao của Bộ Công Thương Việt nam do Thứ Trưởng Lê Dương Quang dẫn đầu theo lời mời của nhà nước Kuwait , sang tham dự Hội nghị bàn tròn Bộ Trưởng Châu Á lần thứ tư về phát triển bền vững và an ninh năng lượng, được tổ chức tại Kuwait từ ngày 16-20 tháng 4 năm 2011 .    </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color w:val="494949"/>
          <w:sz w:val="18"/>
          <w:szCs w:val="18"/>
        </w:rPr>
        <w:t>  - Việt Nam – Kuwait tiếp tục thực hiện dự án lọc hóa dầu Nghi Sơn và Kuwait tiếp tục hỗ trợ tài chính cho Việt nam thực hiện 9 dự án xây dựng cơ sở hạ tầng với trị giá 124 triệu USD . Việt nam – Kuwait cam kết đảm bảo an ninh năng lượng và an ninh lương thực giữa hai nước .</w:t>
      </w:r>
    </w:p>
    <w:p w:rsidR="006E4EFB" w:rsidRPr="006E4EFB" w:rsidRDefault="006E4EFB" w:rsidP="006E4EFB">
      <w:pPr>
        <w:spacing w:after="0" w:line="240" w:lineRule="auto"/>
        <w:rPr>
          <w:rFonts w:ascii="Arial" w:eastAsia="Times New Roman" w:hAnsi="Arial" w:cs="Arial"/>
          <w:color w:val="494949"/>
          <w:sz w:val="18"/>
          <w:szCs w:val="18"/>
        </w:rPr>
      </w:pPr>
      <w:r w:rsidRPr="006E4EFB">
        <w:rPr>
          <w:rFonts w:ascii="Arial" w:eastAsia="Times New Roman" w:hAnsi="Arial" w:cs="Arial"/>
          <w:color w:val="494949"/>
          <w:sz w:val="18"/>
          <w:szCs w:val="18"/>
        </w:rPr>
        <w:t>  - Hai bên dự kiến tổ chức cuộc họp Ủy Ban Hỗn Hợp Việt nam – Kuwait vào quí 4/2011 tại Kuwait , triển vọng sẽ mở ra nhiều cơ hội mới phát triển mạnh quan hệ kinh tế giữa hai nước .</w:t>
      </w:r>
    </w:p>
    <w:p w:rsidR="006E4EFB" w:rsidRPr="006E4EFB" w:rsidRDefault="006E4EFB" w:rsidP="006E4EFB">
      <w:pPr>
        <w:spacing w:line="240" w:lineRule="auto"/>
        <w:jc w:val="both"/>
        <w:rPr>
          <w:rFonts w:ascii="Arial" w:eastAsia="Times New Roman" w:hAnsi="Arial" w:cs="Arial"/>
          <w:color w:val="494949"/>
          <w:sz w:val="18"/>
          <w:szCs w:val="18"/>
        </w:rPr>
      </w:pPr>
      <w:r w:rsidRPr="006E4EFB">
        <w:rPr>
          <w:rFonts w:ascii="Arial" w:eastAsia="Times New Roman" w:hAnsi="Arial" w:cs="Arial"/>
          <w:color w:val="494949"/>
          <w:sz w:val="18"/>
          <w:szCs w:val="18"/>
        </w:rPr>
        <w:t>                                                                                                            </w:t>
      </w:r>
      <w:r w:rsidRPr="006E4EFB">
        <w:rPr>
          <w:rFonts w:ascii="Arial" w:eastAsia="Times New Roman" w:hAnsi="Arial" w:cs="Arial"/>
          <w:b/>
          <w:bCs/>
          <w:color w:val="494949"/>
          <w:sz w:val="18"/>
          <w:szCs w:val="18"/>
        </w:rPr>
        <w:t> Lê Hải Châu - Tham Tán Thương Mại ĐSQVN tại Kuwait</w:t>
      </w:r>
    </w:p>
    <w:p w:rsidR="005531FC" w:rsidRPr="006E4EFB" w:rsidRDefault="005531FC" w:rsidP="006E4EFB">
      <w:bookmarkStart w:id="0" w:name="_GoBack"/>
      <w:bookmarkEnd w:id="0"/>
    </w:p>
    <w:sectPr w:rsidR="005531FC" w:rsidRPr="006E4EFB"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21A"/>
    <w:rsid w:val="003740F2"/>
    <w:rsid w:val="005531FC"/>
    <w:rsid w:val="005E1046"/>
    <w:rsid w:val="00686F73"/>
    <w:rsid w:val="006E4EFB"/>
    <w:rsid w:val="006F37D5"/>
    <w:rsid w:val="007232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80F7E7-667D-4DF0-8CF3-C5D0315A7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321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72321A"/>
    <w:rPr>
      <w:b/>
      <w:bCs/>
    </w:rPr>
  </w:style>
  <w:style w:type="character" w:styleId="Emphasis">
    <w:name w:val="Emphasis"/>
    <w:basedOn w:val="DefaultParagraphFont"/>
    <w:uiPriority w:val="20"/>
    <w:qFormat/>
    <w:rsid w:val="007232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8524">
      <w:bodyDiv w:val="1"/>
      <w:marLeft w:val="0"/>
      <w:marRight w:val="0"/>
      <w:marTop w:val="0"/>
      <w:marBottom w:val="0"/>
      <w:divBdr>
        <w:top w:val="none" w:sz="0" w:space="0" w:color="auto"/>
        <w:left w:val="none" w:sz="0" w:space="0" w:color="auto"/>
        <w:bottom w:val="none" w:sz="0" w:space="0" w:color="auto"/>
        <w:right w:val="none" w:sz="0" w:space="0" w:color="auto"/>
      </w:divBdr>
      <w:divsChild>
        <w:div w:id="1664383749">
          <w:marLeft w:val="0"/>
          <w:marRight w:val="0"/>
          <w:marTop w:val="0"/>
          <w:marBottom w:val="150"/>
          <w:divBdr>
            <w:top w:val="none" w:sz="0" w:space="0" w:color="auto"/>
            <w:left w:val="none" w:sz="0" w:space="0" w:color="auto"/>
            <w:bottom w:val="none" w:sz="0" w:space="0" w:color="auto"/>
            <w:right w:val="none" w:sz="0" w:space="0" w:color="auto"/>
          </w:divBdr>
        </w:div>
        <w:div w:id="2017268394">
          <w:marLeft w:val="0"/>
          <w:marRight w:val="0"/>
          <w:marTop w:val="0"/>
          <w:marBottom w:val="300"/>
          <w:divBdr>
            <w:top w:val="none" w:sz="0" w:space="0" w:color="auto"/>
            <w:left w:val="none" w:sz="0" w:space="0" w:color="auto"/>
            <w:bottom w:val="none" w:sz="0" w:space="0" w:color="auto"/>
            <w:right w:val="none" w:sz="0" w:space="0" w:color="auto"/>
          </w:divBdr>
        </w:div>
      </w:divsChild>
    </w:div>
    <w:div w:id="104665728">
      <w:bodyDiv w:val="1"/>
      <w:marLeft w:val="0"/>
      <w:marRight w:val="0"/>
      <w:marTop w:val="0"/>
      <w:marBottom w:val="0"/>
      <w:divBdr>
        <w:top w:val="none" w:sz="0" w:space="0" w:color="auto"/>
        <w:left w:val="none" w:sz="0" w:space="0" w:color="auto"/>
        <w:bottom w:val="none" w:sz="0" w:space="0" w:color="auto"/>
        <w:right w:val="none" w:sz="0" w:space="0" w:color="auto"/>
      </w:divBdr>
      <w:divsChild>
        <w:div w:id="1191332789">
          <w:marLeft w:val="0"/>
          <w:marRight w:val="0"/>
          <w:marTop w:val="0"/>
          <w:marBottom w:val="150"/>
          <w:divBdr>
            <w:top w:val="none" w:sz="0" w:space="0" w:color="auto"/>
            <w:left w:val="none" w:sz="0" w:space="0" w:color="auto"/>
            <w:bottom w:val="none" w:sz="0" w:space="0" w:color="auto"/>
            <w:right w:val="none" w:sz="0" w:space="0" w:color="auto"/>
          </w:divBdr>
        </w:div>
        <w:div w:id="248201180">
          <w:marLeft w:val="0"/>
          <w:marRight w:val="0"/>
          <w:marTop w:val="0"/>
          <w:marBottom w:val="300"/>
          <w:divBdr>
            <w:top w:val="none" w:sz="0" w:space="0" w:color="auto"/>
            <w:left w:val="none" w:sz="0" w:space="0" w:color="auto"/>
            <w:bottom w:val="none" w:sz="0" w:space="0" w:color="auto"/>
            <w:right w:val="none" w:sz="0" w:space="0" w:color="auto"/>
          </w:divBdr>
        </w:div>
      </w:divsChild>
    </w:div>
    <w:div w:id="132717730">
      <w:bodyDiv w:val="1"/>
      <w:marLeft w:val="0"/>
      <w:marRight w:val="0"/>
      <w:marTop w:val="0"/>
      <w:marBottom w:val="0"/>
      <w:divBdr>
        <w:top w:val="none" w:sz="0" w:space="0" w:color="auto"/>
        <w:left w:val="none" w:sz="0" w:space="0" w:color="auto"/>
        <w:bottom w:val="none" w:sz="0" w:space="0" w:color="auto"/>
        <w:right w:val="none" w:sz="0" w:space="0" w:color="auto"/>
      </w:divBdr>
      <w:divsChild>
        <w:div w:id="2034451327">
          <w:marLeft w:val="0"/>
          <w:marRight w:val="0"/>
          <w:marTop w:val="0"/>
          <w:marBottom w:val="150"/>
          <w:divBdr>
            <w:top w:val="none" w:sz="0" w:space="0" w:color="auto"/>
            <w:left w:val="none" w:sz="0" w:space="0" w:color="auto"/>
            <w:bottom w:val="none" w:sz="0" w:space="0" w:color="auto"/>
            <w:right w:val="none" w:sz="0" w:space="0" w:color="auto"/>
          </w:divBdr>
        </w:div>
        <w:div w:id="39861149">
          <w:marLeft w:val="0"/>
          <w:marRight w:val="0"/>
          <w:marTop w:val="0"/>
          <w:marBottom w:val="300"/>
          <w:divBdr>
            <w:top w:val="none" w:sz="0" w:space="0" w:color="auto"/>
            <w:left w:val="none" w:sz="0" w:space="0" w:color="auto"/>
            <w:bottom w:val="none" w:sz="0" w:space="0" w:color="auto"/>
            <w:right w:val="none" w:sz="0" w:space="0" w:color="auto"/>
          </w:divBdr>
        </w:div>
      </w:divsChild>
    </w:div>
    <w:div w:id="319893564">
      <w:bodyDiv w:val="1"/>
      <w:marLeft w:val="0"/>
      <w:marRight w:val="0"/>
      <w:marTop w:val="0"/>
      <w:marBottom w:val="0"/>
      <w:divBdr>
        <w:top w:val="none" w:sz="0" w:space="0" w:color="auto"/>
        <w:left w:val="none" w:sz="0" w:space="0" w:color="auto"/>
        <w:bottom w:val="none" w:sz="0" w:space="0" w:color="auto"/>
        <w:right w:val="none" w:sz="0" w:space="0" w:color="auto"/>
      </w:divBdr>
      <w:divsChild>
        <w:div w:id="1078986445">
          <w:marLeft w:val="0"/>
          <w:marRight w:val="0"/>
          <w:marTop w:val="0"/>
          <w:marBottom w:val="150"/>
          <w:divBdr>
            <w:top w:val="none" w:sz="0" w:space="0" w:color="auto"/>
            <w:left w:val="none" w:sz="0" w:space="0" w:color="auto"/>
            <w:bottom w:val="none" w:sz="0" w:space="0" w:color="auto"/>
            <w:right w:val="none" w:sz="0" w:space="0" w:color="auto"/>
          </w:divBdr>
        </w:div>
        <w:div w:id="2022506797">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945</Words>
  <Characters>5391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2022-07-29T07:25:00Z</dcterms:created>
  <dcterms:modified xsi:type="dcterms:W3CDTF">2022-07-29T07:25:00Z</dcterms:modified>
</cp:coreProperties>
</file>