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398" w:rsidRPr="00111398" w:rsidRDefault="00111398" w:rsidP="00111398">
      <w:pPr>
        <w:spacing w:after="150" w:line="240" w:lineRule="auto"/>
        <w:rPr>
          <w:rFonts w:ascii="Arial" w:eastAsia="Times New Roman" w:hAnsi="Arial" w:cs="Arial"/>
          <w:b/>
          <w:bCs/>
          <w:color w:val="494949"/>
          <w:sz w:val="18"/>
          <w:szCs w:val="18"/>
        </w:rPr>
      </w:pPr>
      <w:r w:rsidRPr="00111398">
        <w:rPr>
          <w:rFonts w:ascii="Arial" w:eastAsia="Times New Roman" w:hAnsi="Arial" w:cs="Arial"/>
          <w:b/>
          <w:bCs/>
          <w:color w:val="494949"/>
          <w:sz w:val="18"/>
          <w:szCs w:val="18"/>
        </w:rPr>
        <w:t>Là một trong những nước có nền kinh tế mạnh nhất khu vực Trung Đông, thu nhập bình quân đầu người tính theo sức mua ngang giá (PPP) đạt xấp xỉ 30 ngàn USD năm 2013 (theo CIA), vị trí chiến lược, thị trường trung chuyển hàng hóa lớn nhất khu vực, chính sách cởi mở…UAE (Các tiểu Vương quốc Ả rập Thống nhất) hội đủ những điều kiện thuận lợi để phát triển ngoại thương.</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Ngoại thương của UAE đã liên tục phát triển trong giai đoạn 2009 – 2013. Số liệu của Hội đồng các quốc gia Vùng vịnh và CIA cho thấy, nếu như năm 2009 tổng kim ngạch xuất nhập khẩu của UAE đạt 247,68 tỷ USD, đến năm 2013 con số này được nâng lên 618,5 tỷ USD, tăng 149,7% so năm 2009. Cụ thể, so cùng kỳ năm trước, năm 2010 đạt 280,026 tỷ USD, tăng 13,1%; năm 2011 đạt 364,197 tỷ USD, tăng 30,1%; năm 2012 đạt 405,583 tỷ USD, tăng 11,4%; năm 2013 đạt mức kỷ lục 618,5 tỷ USD, tăng 52,5%.</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Như vậy, trong giai đoạn này ngoại thương của UAE năm 2013 có mức tăng cao nhất, tiếp đến là năm 2011, 2010 và 2012.</w:t>
      </w:r>
    </w:p>
    <w:p w:rsidR="00111398" w:rsidRPr="00111398" w:rsidRDefault="00111398" w:rsidP="00111398">
      <w:pPr>
        <w:spacing w:after="0" w:line="240" w:lineRule="auto"/>
        <w:jc w:val="center"/>
        <w:rPr>
          <w:rFonts w:ascii="Arial" w:eastAsia="Times New Roman" w:hAnsi="Arial" w:cs="Arial"/>
          <w:color w:val="494949"/>
          <w:sz w:val="18"/>
          <w:szCs w:val="18"/>
        </w:rPr>
      </w:pPr>
      <w:r w:rsidRPr="00111398">
        <w:rPr>
          <w:rFonts w:ascii="Arial" w:eastAsia="Times New Roman" w:hAnsi="Arial" w:cs="Arial"/>
          <w:color w:val="494949"/>
          <w:sz w:val="18"/>
          <w:szCs w:val="18"/>
        </w:rPr>
        <w:t>            </w:t>
      </w:r>
      <w:r w:rsidRPr="00111398">
        <w:rPr>
          <w:rFonts w:ascii="Arial" w:eastAsia="Times New Roman" w:hAnsi="Arial" w:cs="Arial"/>
          <w:b/>
          <w:bCs/>
          <w:color w:val="494949"/>
          <w:sz w:val="18"/>
          <w:szCs w:val="18"/>
        </w:rPr>
        <w:t>Bảng thống kê ngoại thương của UAE giai đoạn 2009 – 2013</w:t>
      </w:r>
    </w:p>
    <w:p w:rsidR="00111398" w:rsidRPr="00111398" w:rsidRDefault="00111398" w:rsidP="00111398">
      <w:pPr>
        <w:spacing w:line="240" w:lineRule="auto"/>
        <w:jc w:val="right"/>
        <w:rPr>
          <w:rFonts w:ascii="Arial" w:eastAsia="Times New Roman" w:hAnsi="Arial" w:cs="Arial"/>
          <w:color w:val="494949"/>
          <w:sz w:val="18"/>
          <w:szCs w:val="18"/>
        </w:rPr>
      </w:pPr>
      <w:r w:rsidRPr="00111398">
        <w:rPr>
          <w:rFonts w:ascii="Arial" w:eastAsia="Times New Roman" w:hAnsi="Arial" w:cs="Arial"/>
          <w:color w:val="494949"/>
          <w:sz w:val="18"/>
          <w:szCs w:val="18"/>
        </w:rPr>
        <w:t>Đơn vị tính: Triệu USD</w:t>
      </w:r>
    </w:p>
    <w:tbl>
      <w:tblPr>
        <w:tblW w:w="117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1140"/>
        <w:gridCol w:w="1140"/>
        <w:gridCol w:w="990"/>
        <w:gridCol w:w="1275"/>
        <w:gridCol w:w="990"/>
        <w:gridCol w:w="1275"/>
        <w:gridCol w:w="990"/>
        <w:gridCol w:w="1275"/>
        <w:gridCol w:w="990"/>
      </w:tblGrid>
      <w:tr w:rsidR="00111398" w:rsidRPr="00111398" w:rsidTr="00111398">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Năm</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2009</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2010</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Tăng trưởng (%)</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2011</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Tăng trưởng (%)</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2012</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Tăng trưởng (%)</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2013</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center"/>
              <w:rPr>
                <w:rFonts w:eastAsia="Times New Roman" w:cs="Times New Roman"/>
                <w:sz w:val="24"/>
                <w:szCs w:val="24"/>
              </w:rPr>
            </w:pPr>
            <w:r w:rsidRPr="00111398">
              <w:rPr>
                <w:rFonts w:eastAsia="Times New Roman" w:cs="Times New Roman"/>
                <w:b/>
                <w:bCs/>
                <w:sz w:val="24"/>
                <w:szCs w:val="24"/>
              </w:rPr>
              <w:t>Tăng trưởng (%)</w:t>
            </w:r>
          </w:p>
        </w:tc>
      </w:tr>
      <w:tr w:rsidR="00111398" w:rsidRPr="00111398" w:rsidTr="00111398">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rPr>
                <w:rFonts w:eastAsia="Times New Roman" w:cs="Times New Roman"/>
                <w:sz w:val="24"/>
                <w:szCs w:val="24"/>
              </w:rPr>
            </w:pPr>
            <w:r w:rsidRPr="00111398">
              <w:rPr>
                <w:rFonts w:eastAsia="Times New Roman" w:cs="Times New Roman"/>
                <w:b/>
                <w:bCs/>
                <w:sz w:val="24"/>
                <w:szCs w:val="24"/>
              </w:rPr>
              <w:t>Kim ngạch xuất khẩu</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125.857</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147.869</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17,5</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200.070</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35,3</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223.822</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11,9</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368.900</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64,8</w:t>
            </w:r>
          </w:p>
        </w:tc>
      </w:tr>
      <w:tr w:rsidR="00111398" w:rsidRPr="00111398" w:rsidTr="00111398">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rPr>
                <w:rFonts w:eastAsia="Times New Roman" w:cs="Times New Roman"/>
                <w:sz w:val="24"/>
                <w:szCs w:val="24"/>
              </w:rPr>
            </w:pPr>
            <w:r w:rsidRPr="00111398">
              <w:rPr>
                <w:rFonts w:eastAsia="Times New Roman" w:cs="Times New Roman"/>
                <w:b/>
                <w:bCs/>
                <w:sz w:val="24"/>
                <w:szCs w:val="24"/>
              </w:rPr>
              <w:t>Kim ngạch nhập khẩu</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121.823</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132.157</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8,5</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164.127</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24,2</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181.762</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10,7</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249.600</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37,3</w:t>
            </w:r>
          </w:p>
        </w:tc>
      </w:tr>
      <w:tr w:rsidR="00111398" w:rsidRPr="00111398" w:rsidTr="00111398">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rPr>
                <w:rFonts w:eastAsia="Times New Roman" w:cs="Times New Roman"/>
                <w:sz w:val="24"/>
                <w:szCs w:val="24"/>
              </w:rPr>
            </w:pPr>
            <w:r w:rsidRPr="00111398">
              <w:rPr>
                <w:rFonts w:eastAsia="Times New Roman" w:cs="Times New Roman"/>
                <w:b/>
                <w:bCs/>
                <w:sz w:val="24"/>
                <w:szCs w:val="24"/>
              </w:rPr>
              <w:t>Tổng kim ngạch xuất nhập khẩu</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247.680</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280.026</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13,1</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364.197</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30,1</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405.584</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11,4</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618.500</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52,5</w:t>
            </w:r>
          </w:p>
        </w:tc>
      </w:tr>
      <w:tr w:rsidR="00111398" w:rsidRPr="00111398" w:rsidTr="00111398">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rPr>
                <w:rFonts w:eastAsia="Times New Roman" w:cs="Times New Roman"/>
                <w:sz w:val="24"/>
                <w:szCs w:val="24"/>
              </w:rPr>
            </w:pPr>
            <w:r w:rsidRPr="00111398">
              <w:rPr>
                <w:rFonts w:eastAsia="Times New Roman" w:cs="Times New Roman"/>
                <w:b/>
                <w:bCs/>
                <w:sz w:val="24"/>
                <w:szCs w:val="24"/>
              </w:rPr>
              <w:t>Cán cân thương mại</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4.034</w:t>
            </w:r>
          </w:p>
        </w:tc>
        <w:tc>
          <w:tcPr>
            <w:tcW w:w="114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15.712</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289,5</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35.943</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128,8</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42.060</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17,0</w:t>
            </w:r>
          </w:p>
        </w:tc>
        <w:tc>
          <w:tcPr>
            <w:tcW w:w="1275"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119.300</w:t>
            </w:r>
          </w:p>
        </w:tc>
        <w:tc>
          <w:tcPr>
            <w:tcW w:w="990" w:type="dxa"/>
            <w:tcBorders>
              <w:top w:val="outset" w:sz="6" w:space="0" w:color="auto"/>
              <w:left w:val="outset" w:sz="6" w:space="0" w:color="auto"/>
              <w:bottom w:val="outset" w:sz="6" w:space="0" w:color="auto"/>
              <w:right w:val="outset" w:sz="6" w:space="0" w:color="auto"/>
            </w:tcBorders>
            <w:hideMark/>
          </w:tcPr>
          <w:p w:rsidR="00111398" w:rsidRPr="00111398" w:rsidRDefault="00111398" w:rsidP="00111398">
            <w:pPr>
              <w:spacing w:after="0" w:line="240" w:lineRule="auto"/>
              <w:jc w:val="right"/>
              <w:rPr>
                <w:rFonts w:eastAsia="Times New Roman" w:cs="Times New Roman"/>
                <w:sz w:val="24"/>
                <w:szCs w:val="24"/>
              </w:rPr>
            </w:pPr>
            <w:r w:rsidRPr="00111398">
              <w:rPr>
                <w:rFonts w:eastAsia="Times New Roman" w:cs="Times New Roman"/>
                <w:sz w:val="24"/>
                <w:szCs w:val="24"/>
              </w:rPr>
              <w:t>183,6</w:t>
            </w:r>
          </w:p>
        </w:tc>
      </w:tr>
    </w:tbl>
    <w:p w:rsidR="00111398" w:rsidRPr="00111398" w:rsidRDefault="00111398" w:rsidP="00111398">
      <w:pPr>
        <w:spacing w:after="0" w:line="240" w:lineRule="auto"/>
        <w:jc w:val="right"/>
        <w:rPr>
          <w:rFonts w:ascii="Arial" w:eastAsia="Times New Roman" w:hAnsi="Arial" w:cs="Arial"/>
          <w:color w:val="494949"/>
          <w:sz w:val="18"/>
          <w:szCs w:val="18"/>
        </w:rPr>
      </w:pPr>
      <w:r w:rsidRPr="00111398">
        <w:rPr>
          <w:rFonts w:ascii="Arial" w:eastAsia="Times New Roman" w:hAnsi="Arial" w:cs="Arial"/>
          <w:i/>
          <w:iCs/>
          <w:color w:val="494949"/>
          <w:sz w:val="18"/>
          <w:szCs w:val="18"/>
        </w:rPr>
        <w:t>Nguồn: Hội đồng hợp tác các quốc gia Vùng vịnh và CIA</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w:t>
      </w:r>
      <w:r w:rsidRPr="00111398">
        <w:rPr>
          <w:rFonts w:ascii="Arial" w:eastAsia="Times New Roman" w:hAnsi="Arial" w:cs="Arial"/>
          <w:b/>
          <w:bCs/>
          <w:color w:val="494949"/>
          <w:sz w:val="18"/>
          <w:szCs w:val="18"/>
        </w:rPr>
        <w:t>Xuất khẩu</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UAE là nước xuất khẩu lớn thứ hai trong khối GCC sau Saudi Arabia, đạt mức tăng trưởng tốt trong giai đoạn 2009 – 2013.</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Bảng thống kê trên cho thấy, kim ngạch xuất khẩu của UAE năm 2009 đạt 125,857 tỷ USD, đến năm 2013 con số này được nâng lên 368,9 tỷ USD, tăng 193,1% so năm 2009. Cụ thể, so cùng kỳ năm trước, năm 2010 đạt 147,869 tỷ USD, tăng 17,5%; năm 2011 đạt 200,07 tỷ USD, tăng 35,3%; năm 2012 đạt 223,822 tỷ USD, tăng 11,9%; năm 2013 đạt 368,9 tỷ USD, tăng 64,8%.</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Như vậy, trong giai đoạn này, năm 2013 có mức tăng trưởng xuất khẩu cao nhất, tiếp đến là năm 2011, 2010 và 2012. Theo CIA, xuất khẩu của UAE đứng thứ 18 trên thế giới năm 2013.</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Các mặt hàng xuất khẩu chủ yếu của UAE bao gồm: dầu thô; gas tự nhiên; nhiên liệu xăng dầu; đồ trang sức, kim loại và đá quý; chất dẻo; nhôm; đồng…Trong đó, dầu thô luôn chiếm khoảng 45% tổng kim ngạch xuất khẩu.</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Theo số liệu của Cục Thống kê UAE, tính riêng năm 2011, so cùng kỳ năm trước, ngoại trừ dầu thô, các mặt hàng thuộc Chương 71 trong biểu thuế nhập khẩu có giá trị kim ngạch xuất khẩu cao nhất với 17,6 tỷ USD, tăng 50%; tiếp theo là các mặt hàng thuộc Chương 39 đạt 1,84 tỷ USD, tăng 16,3%; Các mặt hàng thuộc Chương 89 đạt 1,24 tỷ USD, giảm 21,2%; các sản phẩm thuộc Chương 27 đạt 1,07 tỷ USD, tăng 112%; các sản phẩm thuộc Chương 76 (nhôm) đạt 986 triệu USD, tăng 69,2%; các sản phẩm thuộc Chương 74 đạt 681 triệu USD, tăng 38,9%...</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Như đã nói ở phần trên, một trong những đặc điểm nổi bật của UAE là thị trường trung chuyển lớn nhất khu vực. Do vậy, hoạt động tạm nhập tái xuất diễn ra rất sôi động tại UAE. Kim ngạch tái xuất hàng năm chiếm khoảng trên dưới 35% tổng kim ngạch nhập khẩu của nước này. Các mặt hàng tái xuất chủ yếu thuộc Chương 10, 24, 33, 38, 40, 54, 69, 71, 74, 84, 85, 87, 88.</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Về thị trường xuất khẩu, tính riêng năm 2011, không tính dầu thô, các đối tác xuất khẩu chủ yếu của UAE là Ấn Độ chiếm 31,77% tổng kim ngạch xuất khẩu, Thụy Sỹ chiếm 12,68%, Saudi Arabia chiếm 4,96%, Iran chiếm 4,2%, Singapore 2,88%, Kuwait chiếm 2,85%, Thổ Nhĩ Kỳ chiếm 2,84%, Canada chiếm 2,57%, Iraq chiếm 2,06%, Thái Lan 1,87%...</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w:t>
      </w:r>
      <w:r w:rsidRPr="00111398">
        <w:rPr>
          <w:rFonts w:ascii="Arial" w:eastAsia="Times New Roman" w:hAnsi="Arial" w:cs="Arial"/>
          <w:b/>
          <w:bCs/>
          <w:color w:val="494949"/>
          <w:sz w:val="18"/>
          <w:szCs w:val="18"/>
        </w:rPr>
        <w:t>Nhập khẩu</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b/>
          <w:bCs/>
          <w:color w:val="494949"/>
          <w:sz w:val="18"/>
          <w:szCs w:val="18"/>
        </w:rPr>
        <w:t>            </w:t>
      </w:r>
      <w:r w:rsidRPr="00111398">
        <w:rPr>
          <w:rFonts w:ascii="Arial" w:eastAsia="Times New Roman" w:hAnsi="Arial" w:cs="Arial"/>
          <w:color w:val="494949"/>
          <w:sz w:val="18"/>
          <w:szCs w:val="18"/>
        </w:rPr>
        <w:t>UAE là thị trường nhập khẩu lớn nhất khối GCC, tuy không đạt tốc độ tăng trưởng cao như xuất khẩu, nhưng nhập khẩu của nước này vẫn duy trì được mức tăng khá trong giai đoạn 2009 – 2013.</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Số liệu thống kê cho thấy, nếu kim ngạch nhập khẩu của UAE đạt 121,823 tỷ USD năm 2009, đến năm 2013 con số này được nâng lên 249,6 tỷ USD, tăng 104,9% so năm 2009. Cụ thể, năm 2010 đạt 132,157 tỷ USD, tăng 8,5%; năm 2011 đạt 164,127 tỷ USD, tăng 24,2%; năm 2012 đạt 181,762 tỷ USD, tăng 10,7%; năm 2013 đạt 249,6 tỷ USD, tăng 37,3%.</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Như vậy, trong giai đoạn này, năm 2013 có mức tăng trưởng nhập khẩu cao nhất, tiếp đến là năm 2011, 2012 và 2010. Theo CIA, nhập khẩu của UAE đứng thứ 21 trên thế giới năm 2013.</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xml:space="preserve">            Các mặt hàng nhập khẩu chủ yếu của UAE bao gồm: đồ trang sức, kim loại và đá quý; xe cộ và phụ tùng; máy bay và phụ tùng; máy móc thiết bị điện và linh kiện; chất dẻo và nguyên liệu; dầu khoáng; hóa chất vô cơ; </w:t>
      </w:r>
      <w:r w:rsidRPr="00111398">
        <w:rPr>
          <w:rFonts w:ascii="Arial" w:eastAsia="Times New Roman" w:hAnsi="Arial" w:cs="Arial"/>
          <w:color w:val="494949"/>
          <w:sz w:val="18"/>
          <w:szCs w:val="18"/>
        </w:rPr>
        <w:lastRenderedPageBreak/>
        <w:t>dược phẩm; gạo; tua bin phản lực, cánh quạt; vòi van và các thiết bị tương tự dùng cho đường ống, nồi hơi; sắt thép…</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Theo số liệu của Cục Thống kê UAE, tính riêng năm 2011, so cùng kỳ năm trước, đứng đầu nhập khẩu của UAE là các mặt hàng thuộc Chương 71 đạt 51,3 tỷ USD, tăng 35,4%; tiếp đến là các mặt hàng thuộc Chương 84 đạt 24,4 tỷ USD, tăng 16,4%; các mặt hàng thuộc Chương 87 đạt 11,9 tỷ USD, tăng 7,9%; các mặt hàng thuộc Chương 85 đạt 11,8 tỷ USD, tăng 7,3%; các mặt hàng thuộc Chương 88 (máy bay và phụ tùng) đạt 7,2 tỷ USD, tăng 42,5%; các mặt hàng thuộc Chương 73 đạt 5,8 tỷ USD, tăng 60,4%; các sản phẩm thuộc Chương 72 đạt 4,3 tỷ USD, tăng 14%; các sản phẩm thuộc Chương 39 đạt 3,4 tỷ USD, tăng 17,2%; các sản phẩm thuộc Chương 27 đạt 2,8 tỷ USD, tăng 36,8%; các sản phẩm thuộc Chương 28 đạt 2,1 tỷ USD, tăng 26,4%; các sản phẩm thuộc Chương 10 đạt 1,8 tỷ USD (trong đó gạo chiếm 68,2%), tăng 8,2%...</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Như vậy, trong số các mặt hàng nhập khẩu chính của UAE năm 2011, tốc độ tăng cao nhất thuộc về các mặt hàng Chương 73, tiếp đến là Chương 88, Chương 27, Chương 71, Chương 28…thấp nhất là Chương 85.</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Thị trường nhập khẩu chính của UAE là các nước thuộc khu vực Châu Á, Mỹ, Châu Âu. Trong đó, UAE nhập khẩu nhiều nhất từ Ấn Độ, Trung Quốc, Mỹ, Đức, Nhật, Hàn Quốc, Anh, Ý, Pháp…</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Số liệu của Cục Thống kê UAE cho thấy, tính riêng năm 2011, Ấn Độ chiếm 17,44% trong tổng kim ngạch nhập khẩu của UAE; đứng thứ hai là Trung Quốc với 9,12%; tiếp đến là Mỹ 8,84%; Đức chiếm 5,09%; Nhật 4,98%; Hàn Quốc chiếm 3,8%; Anh và Bắc Ai Len chiếm 3,56%; Ý chiếm 3,31%; Pháp chiếm 2,65%; Thụy Sỹ chiếm 2,54%...</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w:t>
      </w:r>
      <w:r w:rsidRPr="00111398">
        <w:rPr>
          <w:rFonts w:ascii="Arial" w:eastAsia="Times New Roman" w:hAnsi="Arial" w:cs="Arial"/>
          <w:b/>
          <w:bCs/>
          <w:color w:val="494949"/>
          <w:sz w:val="18"/>
          <w:szCs w:val="18"/>
        </w:rPr>
        <w:t>Cán cân thương mại</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Cùng với các nước trong khối GCC khác, UAE đạt mức thặng dư thương mại năm sau cao hơn năm trước trong cả giai đoạn 2009 – 2013. Ngoại trừ năm 2013 đạt mức thăng dư cao thứ hai trong khối GCC sau Saudi Arabia, các năm còn lại đều đứng thứ 4 trong tổng số 6 nước GCC, sau Saudi Arabia, Qatar và Kuwait.</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Cụ thể, so cùng kỳ năm trước, mức thặng dư năm 2009 của UAE đạt 4,034 tỷ USD; năm 2010 đạt 15,712 tỷ USD, tăng 298,5%; năm 2011 đạt 35,943 tỷ USD, tăng 128,8%; năm 2012 đạt 42,06 tỷ USD, tăng 17%; năm 2013 đạt 119,3 tỷ USD, tăng 183,6%.</w:t>
      </w:r>
    </w:p>
    <w:p w:rsidR="00111398" w:rsidRPr="00111398" w:rsidRDefault="00111398" w:rsidP="00111398">
      <w:pPr>
        <w:spacing w:after="0" w:line="240" w:lineRule="auto"/>
        <w:rPr>
          <w:rFonts w:ascii="Arial" w:eastAsia="Times New Roman" w:hAnsi="Arial" w:cs="Arial"/>
          <w:color w:val="494949"/>
          <w:sz w:val="18"/>
          <w:szCs w:val="18"/>
        </w:rPr>
      </w:pPr>
      <w:r w:rsidRPr="00111398">
        <w:rPr>
          <w:rFonts w:ascii="Arial" w:eastAsia="Times New Roman" w:hAnsi="Arial" w:cs="Arial"/>
          <w:color w:val="494949"/>
          <w:sz w:val="18"/>
          <w:szCs w:val="18"/>
        </w:rPr>
        <w:t>            Như vậy, năm 2013 có mức thặng dư thương mại cao kỷ lục nhất, chiếm 32,3% kim ngạch xuất khẩu. Tuy nhiên, xét về tốc độ tăng trưởng, năm 2010 có mức tăng cao nhất với 289,5%; tiếp theo là năm 2013 tăng 183,6%; năm 2011 tăng 128,8%; năm 2012 tăng 17%. Điều này cho thấy, ngoại thương của UAE chủ yếu vẫn dựa vào xuất khẩu./.</w:t>
      </w:r>
    </w:p>
    <w:p w:rsidR="00111398" w:rsidRPr="00111398" w:rsidRDefault="00111398" w:rsidP="00111398">
      <w:pPr>
        <w:spacing w:line="240" w:lineRule="auto"/>
        <w:jc w:val="right"/>
        <w:rPr>
          <w:rFonts w:ascii="Arial" w:eastAsia="Times New Roman" w:hAnsi="Arial" w:cs="Arial"/>
          <w:color w:val="494949"/>
          <w:sz w:val="18"/>
          <w:szCs w:val="18"/>
        </w:rPr>
      </w:pPr>
      <w:r w:rsidRPr="00111398">
        <w:rPr>
          <w:rFonts w:ascii="Arial" w:eastAsia="Times New Roman" w:hAnsi="Arial" w:cs="Arial"/>
          <w:i/>
          <w:iCs/>
          <w:color w:val="494949"/>
          <w:sz w:val="18"/>
          <w:szCs w:val="18"/>
        </w:rPr>
        <w:t>Trần Ngọc Hà</w:t>
      </w:r>
    </w:p>
    <w:p w:rsidR="00A63E73" w:rsidRPr="00111398" w:rsidRDefault="00A63E73" w:rsidP="00111398">
      <w:bookmarkStart w:id="0" w:name="_GoBack"/>
      <w:bookmarkEnd w:id="0"/>
    </w:p>
    <w:sectPr w:rsidR="00A63E73" w:rsidRPr="00111398"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41F"/>
    <w:rsid w:val="00111398"/>
    <w:rsid w:val="002211D7"/>
    <w:rsid w:val="003740F2"/>
    <w:rsid w:val="005D2978"/>
    <w:rsid w:val="007C241F"/>
    <w:rsid w:val="008C5F82"/>
    <w:rsid w:val="00A63E73"/>
    <w:rsid w:val="00C47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E70C2A-D60B-41F6-9016-B7547CDD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241F"/>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C241F"/>
    <w:rPr>
      <w:i/>
      <w:iCs/>
    </w:rPr>
  </w:style>
  <w:style w:type="character" w:styleId="Strong">
    <w:name w:val="Strong"/>
    <w:basedOn w:val="DefaultParagraphFont"/>
    <w:uiPriority w:val="22"/>
    <w:qFormat/>
    <w:rsid w:val="008C5F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081868">
      <w:bodyDiv w:val="1"/>
      <w:marLeft w:val="0"/>
      <w:marRight w:val="0"/>
      <w:marTop w:val="0"/>
      <w:marBottom w:val="0"/>
      <w:divBdr>
        <w:top w:val="none" w:sz="0" w:space="0" w:color="auto"/>
        <w:left w:val="none" w:sz="0" w:space="0" w:color="auto"/>
        <w:bottom w:val="none" w:sz="0" w:space="0" w:color="auto"/>
        <w:right w:val="none" w:sz="0" w:space="0" w:color="auto"/>
      </w:divBdr>
      <w:divsChild>
        <w:div w:id="31736245">
          <w:marLeft w:val="0"/>
          <w:marRight w:val="0"/>
          <w:marTop w:val="0"/>
          <w:marBottom w:val="150"/>
          <w:divBdr>
            <w:top w:val="none" w:sz="0" w:space="0" w:color="auto"/>
            <w:left w:val="none" w:sz="0" w:space="0" w:color="auto"/>
            <w:bottom w:val="none" w:sz="0" w:space="0" w:color="auto"/>
            <w:right w:val="none" w:sz="0" w:space="0" w:color="auto"/>
          </w:divBdr>
        </w:div>
        <w:div w:id="1478760687">
          <w:marLeft w:val="0"/>
          <w:marRight w:val="0"/>
          <w:marTop w:val="0"/>
          <w:marBottom w:val="300"/>
          <w:divBdr>
            <w:top w:val="none" w:sz="0" w:space="0" w:color="auto"/>
            <w:left w:val="none" w:sz="0" w:space="0" w:color="auto"/>
            <w:bottom w:val="none" w:sz="0" w:space="0" w:color="auto"/>
            <w:right w:val="none" w:sz="0" w:space="0" w:color="auto"/>
          </w:divBdr>
        </w:div>
      </w:divsChild>
    </w:div>
    <w:div w:id="683091189">
      <w:bodyDiv w:val="1"/>
      <w:marLeft w:val="0"/>
      <w:marRight w:val="0"/>
      <w:marTop w:val="0"/>
      <w:marBottom w:val="0"/>
      <w:divBdr>
        <w:top w:val="none" w:sz="0" w:space="0" w:color="auto"/>
        <w:left w:val="none" w:sz="0" w:space="0" w:color="auto"/>
        <w:bottom w:val="none" w:sz="0" w:space="0" w:color="auto"/>
        <w:right w:val="none" w:sz="0" w:space="0" w:color="auto"/>
      </w:divBdr>
    </w:div>
    <w:div w:id="756710121">
      <w:bodyDiv w:val="1"/>
      <w:marLeft w:val="0"/>
      <w:marRight w:val="0"/>
      <w:marTop w:val="0"/>
      <w:marBottom w:val="0"/>
      <w:divBdr>
        <w:top w:val="none" w:sz="0" w:space="0" w:color="auto"/>
        <w:left w:val="none" w:sz="0" w:space="0" w:color="auto"/>
        <w:bottom w:val="none" w:sz="0" w:space="0" w:color="auto"/>
        <w:right w:val="none" w:sz="0" w:space="0" w:color="auto"/>
      </w:divBdr>
      <w:divsChild>
        <w:div w:id="1220706216">
          <w:marLeft w:val="0"/>
          <w:marRight w:val="0"/>
          <w:marTop w:val="0"/>
          <w:marBottom w:val="150"/>
          <w:divBdr>
            <w:top w:val="none" w:sz="0" w:space="0" w:color="auto"/>
            <w:left w:val="none" w:sz="0" w:space="0" w:color="auto"/>
            <w:bottom w:val="none" w:sz="0" w:space="0" w:color="auto"/>
            <w:right w:val="none" w:sz="0" w:space="0" w:color="auto"/>
          </w:divBdr>
        </w:div>
        <w:div w:id="80224456">
          <w:marLeft w:val="0"/>
          <w:marRight w:val="0"/>
          <w:marTop w:val="0"/>
          <w:marBottom w:val="300"/>
          <w:divBdr>
            <w:top w:val="none" w:sz="0" w:space="0" w:color="auto"/>
            <w:left w:val="none" w:sz="0" w:space="0" w:color="auto"/>
            <w:bottom w:val="none" w:sz="0" w:space="0" w:color="auto"/>
            <w:right w:val="none" w:sz="0" w:space="0" w:color="auto"/>
          </w:divBdr>
        </w:div>
      </w:divsChild>
    </w:div>
    <w:div w:id="2113549020">
      <w:bodyDiv w:val="1"/>
      <w:marLeft w:val="0"/>
      <w:marRight w:val="0"/>
      <w:marTop w:val="0"/>
      <w:marBottom w:val="0"/>
      <w:divBdr>
        <w:top w:val="none" w:sz="0" w:space="0" w:color="auto"/>
        <w:left w:val="none" w:sz="0" w:space="0" w:color="auto"/>
        <w:bottom w:val="none" w:sz="0" w:space="0" w:color="auto"/>
        <w:right w:val="none" w:sz="0" w:space="0" w:color="auto"/>
      </w:divBdr>
      <w:divsChild>
        <w:div w:id="2134207013">
          <w:marLeft w:val="0"/>
          <w:marRight w:val="0"/>
          <w:marTop w:val="0"/>
          <w:marBottom w:val="150"/>
          <w:divBdr>
            <w:top w:val="none" w:sz="0" w:space="0" w:color="auto"/>
            <w:left w:val="none" w:sz="0" w:space="0" w:color="auto"/>
            <w:bottom w:val="none" w:sz="0" w:space="0" w:color="auto"/>
            <w:right w:val="none" w:sz="0" w:space="0" w:color="auto"/>
          </w:divBdr>
        </w:div>
        <w:div w:id="70945982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1095</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2022-08-15T07:20:00Z</dcterms:created>
  <dcterms:modified xsi:type="dcterms:W3CDTF">2022-08-15T07:20:00Z</dcterms:modified>
</cp:coreProperties>
</file>