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675" w:rsidRPr="00356675" w:rsidRDefault="00356675" w:rsidP="00356675">
      <w:pPr>
        <w:rPr>
          <w:rFonts w:ascii="Times New Roman" w:eastAsia="Times New Roman" w:hAnsi="Times New Roman" w:cs="Times New Roman"/>
          <w:b/>
          <w:sz w:val="36"/>
          <w:szCs w:val="36"/>
        </w:rPr>
      </w:pPr>
      <w:r w:rsidRPr="00356675">
        <w:rPr>
          <w:rFonts w:ascii="Times New Roman" w:hAnsi="Times New Roman" w:cs="Times New Roman"/>
          <w:b/>
          <w:sz w:val="36"/>
          <w:szCs w:val="36"/>
        </w:rPr>
        <w:t xml:space="preserve">Product name: </w:t>
      </w:r>
      <w:proofErr w:type="spellStart"/>
      <w:r w:rsidRPr="0035667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L'amant</w:t>
      </w:r>
      <w:proofErr w:type="spellEnd"/>
      <w:r w:rsidRPr="0035667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Traditional Blend (Arabica &amp; Robusta Blend) Ground Coffee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500gr x 20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Powder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Bold, slightly acrid. Have dried fruit flavor, sweet after-taste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Medium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="002D397B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S</w:t>
      </w:r>
      <w:bookmarkStart w:id="0" w:name="_GoBack"/>
      <w:bookmarkEnd w:id="0"/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uitable for: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EC70CC3" wp14:editId="254168FC">
            <wp:extent cx="2641139" cy="1715466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8314" cy="174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675" w:rsidRPr="00F33B92" w:rsidRDefault="00356675" w:rsidP="00356675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Robusta, Arabica</w:t>
      </w:r>
    </w:p>
    <w:p w:rsidR="00356675" w:rsidRPr="00F33B92" w:rsidRDefault="00356675" w:rsidP="00356675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Robusta, Vietnam’s Arabica</w:t>
      </w:r>
    </w:p>
    <w:p w:rsidR="00356675" w:rsidRPr="00F33B92" w:rsidRDefault="00356675" w:rsidP="00356675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Suitable for the customers who prefer the strong and bold coffee flavor, with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br/>
        <w:t>sweet after- taste. The product is also suitable to supply for coffee stores</w:t>
      </w:r>
    </w:p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B7"/>
    <w:rsid w:val="000940B7"/>
    <w:rsid w:val="002D397B"/>
    <w:rsid w:val="00356675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0D9C5E-4CAE-478B-B282-83D7CBBF9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2020-08-11T10:10:00Z</dcterms:created>
  <dcterms:modified xsi:type="dcterms:W3CDTF">2020-08-12T01:57:00Z</dcterms:modified>
</cp:coreProperties>
</file>