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B46" w:rsidRPr="00354B46" w:rsidRDefault="00354B46" w:rsidP="00354B46">
      <w:pPr>
        <w:spacing w:after="150" w:line="240" w:lineRule="auto"/>
        <w:rPr>
          <w:rFonts w:ascii="Arial" w:eastAsia="Times New Roman" w:hAnsi="Arial" w:cs="Arial"/>
          <w:b/>
          <w:bCs/>
          <w:color w:val="494949"/>
          <w:sz w:val="18"/>
          <w:szCs w:val="18"/>
        </w:rPr>
      </w:pPr>
      <w:r w:rsidRPr="00354B46">
        <w:rPr>
          <w:rFonts w:ascii="Arial" w:eastAsia="Times New Roman" w:hAnsi="Arial" w:cs="Arial"/>
          <w:b/>
          <w:bCs/>
          <w:color w:val="494949"/>
          <w:sz w:val="18"/>
          <w:szCs w:val="18"/>
        </w:rPr>
        <w:t>Sự kiện : Đoàn Việt nam do Thủ Tướng Nguyễn Tấn Dũng dẫn đầu thăm và làm việc tại Kuwait tháng 3/2009 đã thành công tốt đẹp , nâng quan hệ kinh tế - chính trị Việt Nam - Kuwait lên tầm cao mới , tạo dựng thêm các yếu tố pháp lý thuận lợi cho giao thương giữa hai nước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b/>
          <w:bCs/>
          <w:color w:val="494949"/>
          <w:sz w:val="18"/>
          <w:szCs w:val="18"/>
        </w:rPr>
        <w:t>1- Sự Kiện</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Đoàn Việt Nam do Thủ Tư</w:t>
      </w:r>
      <w:r w:rsidRPr="00354B46">
        <w:rPr>
          <w:rFonts w:ascii="Arial" w:eastAsia="Times New Roman" w:hAnsi="Arial" w:cs="Arial"/>
          <w:color w:val="494949"/>
          <w:sz w:val="18"/>
          <w:szCs w:val="18"/>
        </w:rPr>
        <w:softHyphen/>
        <w:t>ớng Nguyễn tấn Dũng dẫn đầu thăm và làm việc tại Kuwait tháng 3/2009 đã thành công tốt đẹp , nâng quan hệ kinh tế – chính trị Việt Nam – Kuwait lên tầm cao mới , tạo dựng thêm các yếu tố pháp lí thuận lợi cho giao th</w:t>
      </w:r>
      <w:r w:rsidRPr="00354B46">
        <w:rPr>
          <w:rFonts w:ascii="Arial" w:eastAsia="Times New Roman" w:hAnsi="Arial" w:cs="Arial"/>
          <w:color w:val="494949"/>
          <w:sz w:val="18"/>
          <w:szCs w:val="18"/>
        </w:rPr>
        <w:softHyphen/>
        <w:t>ương giữa hai bên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Trong các ngày 9-12 tháng 3 năm 2009 , đoàn cấp cao Việt Nam và khoảng 50 doanh nghiệp do Thủ Tướng Nguyễn Tấn Dũng dẫn đầu sang thăm và làm việc tại Kuwait đó thành cụng tốt đẹp . các văn kiện hợp tác Việt Nam – Kuwait đó được ký kết trong chuyến thăm của Thủ Tướng lần này gồm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Hiệp định Việt Nam – Kuwait về tránh đánh thuế hai lần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Thoả thuận về vốn đầu tư</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Thoả thuận về hợp tác nông nghiệp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Ngoài ra hai bên bàn về cuộc hợp tác song phương về hợp tác lao động , công an , tài chính , giáo dục và học bổng đào tạo , mở đường bay trực tiếp</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Tổ chức thành công diễn đàn doanh nghiệp Việt nam Kuwat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Phía bạn đánh giá cao vai trũ của Việt nam trong hợp tác mọi mặt với Kuwait trong thời gian qua và mong muốn phát triển hợp tác trong thời gian tới .</w:t>
      </w:r>
      <w:r w:rsidRPr="00354B46">
        <w:rPr>
          <w:rFonts w:ascii="Arial" w:eastAsia="Times New Roman" w:hAnsi="Arial" w:cs="Arial"/>
          <w:color w:val="494949"/>
          <w:sz w:val="18"/>
          <w:szCs w:val="18"/>
        </w:rPr>
        <w:br/>
      </w:r>
      <w:r w:rsidRPr="00354B46">
        <w:rPr>
          <w:rFonts w:ascii="Arial" w:eastAsia="Times New Roman" w:hAnsi="Arial" w:cs="Arial"/>
          <w:color w:val="494949"/>
          <w:sz w:val="18"/>
          <w:szCs w:val="18"/>
        </w:rPr>
        <w:br/>
        <w:t>- Trong các ngày 22- 23 tháng 6 -2009 , đoàn cán bộ Bộ Công Th</w:t>
      </w:r>
      <w:r w:rsidRPr="00354B46">
        <w:rPr>
          <w:rFonts w:ascii="Arial" w:eastAsia="Times New Roman" w:hAnsi="Arial" w:cs="Arial"/>
          <w:color w:val="494949"/>
          <w:sz w:val="18"/>
          <w:szCs w:val="18"/>
        </w:rPr>
        <w:softHyphen/>
        <w:t>ương và tập đoàn dầu khí Việt Nam tới Kuwait chuẩn bị cho chuyến thăm của Bộ Trư</w:t>
      </w:r>
      <w:r w:rsidRPr="00354B46">
        <w:rPr>
          <w:rFonts w:ascii="Arial" w:eastAsia="Times New Roman" w:hAnsi="Arial" w:cs="Arial"/>
          <w:color w:val="494949"/>
          <w:sz w:val="18"/>
          <w:szCs w:val="18"/>
        </w:rPr>
        <w:softHyphen/>
        <w:t>ởng Công Th</w:t>
      </w:r>
      <w:r w:rsidRPr="00354B46">
        <w:rPr>
          <w:rFonts w:ascii="Arial" w:eastAsia="Times New Roman" w:hAnsi="Arial" w:cs="Arial"/>
          <w:color w:val="494949"/>
          <w:sz w:val="18"/>
          <w:szCs w:val="18"/>
        </w:rPr>
        <w:softHyphen/>
        <w:t>ương Việt Nam tới Kuwait đã thu đ</w:t>
      </w:r>
      <w:r w:rsidRPr="00354B46">
        <w:rPr>
          <w:rFonts w:ascii="Arial" w:eastAsia="Times New Roman" w:hAnsi="Arial" w:cs="Arial"/>
          <w:color w:val="494949"/>
          <w:sz w:val="18"/>
          <w:szCs w:val="18"/>
        </w:rPr>
        <w:softHyphen/>
        <w:t>ược một số thông tin từ nh</w:t>
      </w:r>
      <w:r w:rsidRPr="00354B46">
        <w:rPr>
          <w:rFonts w:ascii="Arial" w:eastAsia="Times New Roman" w:hAnsi="Arial" w:cs="Arial"/>
          <w:color w:val="494949"/>
          <w:sz w:val="18"/>
          <w:szCs w:val="18"/>
        </w:rPr>
        <w:softHyphen/>
        <w:t>ư sau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Theo luật của Kuwait về hợp tác quốc tế thăm dò khai thác dầu khí tại Kuwait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Các đối tác n</w:t>
      </w:r>
      <w:r w:rsidRPr="00354B46">
        <w:rPr>
          <w:rFonts w:ascii="Arial" w:eastAsia="Times New Roman" w:hAnsi="Arial" w:cs="Arial"/>
          <w:color w:val="494949"/>
          <w:sz w:val="18"/>
          <w:szCs w:val="18"/>
        </w:rPr>
        <w:softHyphen/>
        <w:t>ước ngoài chỉ đ</w:t>
      </w:r>
      <w:r w:rsidRPr="00354B46">
        <w:rPr>
          <w:rFonts w:ascii="Arial" w:eastAsia="Times New Roman" w:hAnsi="Arial" w:cs="Arial"/>
          <w:color w:val="494949"/>
          <w:sz w:val="18"/>
          <w:szCs w:val="18"/>
        </w:rPr>
        <w:softHyphen/>
        <w:t>ược tham gia vào lĩnh vực dịch vụ thăm dò , khai thác dầu khí tại Kuwait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Việt Nam có thể tham gia vào lĩnh vực dịch vụ dầu khí trên biển tại vùng giáp ranh biên giới lãnh hải giữa Kuwait và Arab Saudi . Còn lại vùng biển thuộc lãnh hải Kuwait, Kuwait cho biết chưa triển khai, nên trước mắt, Việt nam chư</w:t>
      </w:r>
      <w:r w:rsidRPr="00354B46">
        <w:rPr>
          <w:rFonts w:ascii="Arial" w:eastAsia="Times New Roman" w:hAnsi="Arial" w:cs="Arial"/>
          <w:color w:val="494949"/>
          <w:sz w:val="18"/>
          <w:szCs w:val="18"/>
        </w:rPr>
        <w:softHyphen/>
        <w:t>a thể tham gia hợp tác dịch vụ thăm dò khai thác dầu khí trong vùng biển của nước này.</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Đoàn Việt nam đã đề nghị phía Kuwait xem xét cho hợp tác thăm dò khai thác dầu khí tại Kuwait theo như</w:t>
      </w:r>
      <w:r w:rsidRPr="00354B46">
        <w:rPr>
          <w:rFonts w:ascii="Arial" w:eastAsia="Times New Roman" w:hAnsi="Arial" w:cs="Arial"/>
          <w:color w:val="494949"/>
          <w:sz w:val="18"/>
          <w:szCs w:val="18"/>
        </w:rPr>
        <w:softHyphen/>
        <w:t xml:space="preserve"> lời hứa của Thủ T</w:t>
      </w:r>
      <w:r w:rsidRPr="00354B46">
        <w:rPr>
          <w:rFonts w:ascii="Arial" w:eastAsia="Times New Roman" w:hAnsi="Arial" w:cs="Arial"/>
          <w:color w:val="494949"/>
          <w:sz w:val="18"/>
          <w:szCs w:val="18"/>
        </w:rPr>
        <w:softHyphen/>
      </w:r>
      <w:r w:rsidRPr="00354B46">
        <w:rPr>
          <w:rFonts w:ascii="Arial" w:eastAsia="Times New Roman" w:hAnsi="Arial" w:cs="Arial"/>
          <w:color w:val="494949"/>
          <w:sz w:val="18"/>
          <w:szCs w:val="18"/>
        </w:rPr>
        <w:softHyphen/>
        <w:t>ướng Kuwait trong chuyến thăm của Thủ T</w:t>
      </w:r>
      <w:r w:rsidRPr="00354B46">
        <w:rPr>
          <w:rFonts w:ascii="Arial" w:eastAsia="Times New Roman" w:hAnsi="Arial" w:cs="Arial"/>
          <w:color w:val="494949"/>
          <w:sz w:val="18"/>
          <w:szCs w:val="18"/>
        </w:rPr>
        <w:softHyphen/>
        <w:t>ướng Chính Phủ ta hồi tháng 3/2009 vừa qua, phía Kuwait  hứa sẽ trình Bộ tr</w:t>
      </w:r>
      <w:r w:rsidRPr="00354B46">
        <w:rPr>
          <w:rFonts w:ascii="Arial" w:eastAsia="Times New Roman" w:hAnsi="Arial" w:cs="Arial"/>
          <w:color w:val="494949"/>
          <w:sz w:val="18"/>
          <w:szCs w:val="18"/>
        </w:rPr>
        <w:softHyphen/>
        <w:t>ưởng dầu khí xem xét và trả lời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b/>
          <w:bCs/>
          <w:color w:val="494949"/>
          <w:sz w:val="18"/>
          <w:szCs w:val="18"/>
        </w:rPr>
        <w:t>2 - Kim ngạch XNK Việt Nam - Kuwait quí I-2009</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Theo số liệu của Hải Quan Việt Nam, tính đến hết tháng 3 năm 2009, kim ngạch hai chiều Việt Nam – Kuwait đạt: 13,982 triệu USD (chưa kể số liệu nhập khẩu xăng dầu). Trong đó:</w:t>
      </w:r>
    </w:p>
    <w:p w:rsidR="00354B46" w:rsidRPr="00354B46" w:rsidRDefault="00354B46" w:rsidP="00354B46">
      <w:pPr>
        <w:spacing w:after="0" w:line="234" w:lineRule="atLeast"/>
        <w:ind w:firstLine="720"/>
        <w:jc w:val="both"/>
        <w:rPr>
          <w:rFonts w:ascii="Arial" w:eastAsia="Times New Roman" w:hAnsi="Arial" w:cs="Arial"/>
          <w:color w:val="494949"/>
          <w:sz w:val="18"/>
          <w:szCs w:val="18"/>
        </w:rPr>
      </w:pPr>
      <w:r w:rsidRPr="00354B46">
        <w:rPr>
          <w:rFonts w:ascii="Arial" w:eastAsia="Times New Roman" w:hAnsi="Arial" w:cs="Arial"/>
          <w:color w:val="494949"/>
          <w:sz w:val="18"/>
          <w:szCs w:val="18"/>
        </w:rPr>
        <w:t>- Việt Nam xuất khẩu sang Kuwait quí I/09 : Đơn vị :( USD )</w:t>
      </w:r>
    </w:p>
    <w:p w:rsidR="00354B46" w:rsidRPr="00354B46" w:rsidRDefault="00354B46" w:rsidP="00354B46">
      <w:pPr>
        <w:spacing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w:t>
      </w:r>
    </w:p>
    <w:tbl>
      <w:tblPr>
        <w:tblW w:w="7412" w:type="dxa"/>
        <w:tblInd w:w="93" w:type="dxa"/>
        <w:tblCellMar>
          <w:left w:w="0" w:type="dxa"/>
          <w:right w:w="0" w:type="dxa"/>
        </w:tblCellMar>
        <w:tblLook w:val="04A0" w:firstRow="1" w:lastRow="0" w:firstColumn="1" w:lastColumn="0" w:noHBand="0" w:noVBand="1"/>
      </w:tblPr>
      <w:tblGrid>
        <w:gridCol w:w="817"/>
        <w:gridCol w:w="3580"/>
        <w:gridCol w:w="615"/>
        <w:gridCol w:w="840"/>
        <w:gridCol w:w="1560"/>
      </w:tblGrid>
      <w:tr w:rsidR="00354B46" w:rsidRPr="00354B46" w:rsidTr="00354B46">
        <w:trPr>
          <w:trHeight w:val="360"/>
        </w:trPr>
        <w:tc>
          <w:tcPr>
            <w:tcW w:w="81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Sữa &amp; sản phẩm sữa</w:t>
            </w:r>
          </w:p>
        </w:tc>
        <w:tc>
          <w:tcPr>
            <w:tcW w:w="61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 </w:t>
            </w:r>
          </w:p>
        </w:tc>
        <w:tc>
          <w:tcPr>
            <w:tcW w:w="8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lang w:val="pt-BR"/>
              </w:rPr>
              <w:t> </w:t>
            </w:r>
          </w:p>
        </w:tc>
        <w:tc>
          <w:tcPr>
            <w:tcW w:w="15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5,275,752</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Hàng Hải sản</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1,240,626</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Phư</w:t>
            </w:r>
            <w:r w:rsidRPr="00354B46">
              <w:rPr>
                <w:rFonts w:ascii="Arial" w:eastAsia="Times New Roman" w:hAnsi="Arial" w:cs="Arial"/>
                <w:color w:val="000000"/>
                <w:sz w:val="18"/>
                <w:szCs w:val="18"/>
              </w:rPr>
              <w:softHyphen/>
              <w:t>ơng tiện vận tảI khác và phụ tùng</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1,096,500</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Gỗ &amp; sản phẩm gỗ</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lang w:val="pt-BR"/>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666,510</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Hạt Tiêu</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center"/>
              <w:rPr>
                <w:rFonts w:eastAsia="Times New Roman" w:cs="Times New Roman"/>
                <w:sz w:val="24"/>
                <w:szCs w:val="24"/>
              </w:rPr>
            </w:pPr>
            <w:r w:rsidRPr="00354B46">
              <w:rPr>
                <w:rFonts w:ascii="Arial" w:eastAsia="Times New Roman" w:hAnsi="Arial" w:cs="Arial"/>
                <w:color w:val="000000"/>
                <w:sz w:val="18"/>
                <w:szCs w:val="18"/>
              </w:rPr>
              <w:t>Tấn</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73</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181,180</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Vải</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180,073</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Hàng rau quả</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162,753</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Chè</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center"/>
              <w:rPr>
                <w:rFonts w:eastAsia="Times New Roman" w:cs="Times New Roman"/>
                <w:sz w:val="24"/>
                <w:szCs w:val="24"/>
              </w:rPr>
            </w:pPr>
            <w:r w:rsidRPr="00354B46">
              <w:rPr>
                <w:rFonts w:ascii="Arial" w:eastAsia="Times New Roman" w:hAnsi="Arial" w:cs="Arial"/>
                <w:color w:val="000000"/>
                <w:sz w:val="18"/>
                <w:szCs w:val="18"/>
              </w:rPr>
              <w:t>Tấn</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61</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125,634</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Đồ chơi trẻ em</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61,740</w:t>
            </w:r>
          </w:p>
        </w:tc>
      </w:tr>
      <w:tr w:rsidR="00354B46" w:rsidRPr="00354B46" w:rsidTr="00354B46">
        <w:trPr>
          <w:trHeight w:val="360"/>
        </w:trPr>
        <w:tc>
          <w:tcPr>
            <w:tcW w:w="81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Hàng hoá khác</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449,417</w:t>
            </w:r>
          </w:p>
        </w:tc>
      </w:tr>
    </w:tbl>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b/>
          <w:bCs/>
          <w:color w:val="494949"/>
          <w:sz w:val="18"/>
          <w:szCs w:val="18"/>
        </w:rPr>
        <w:t>Tổng : 9,443 Triệu USD</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b/>
          <w:bCs/>
          <w:color w:val="494949"/>
          <w:sz w:val="18"/>
          <w:szCs w:val="18"/>
        </w:rPr>
        <w: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lang w:val="sv-SE"/>
        </w:rPr>
        <w: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lang w:val="sv-SE"/>
        </w:rPr>
        <w:t> </w:t>
      </w:r>
    </w:p>
    <w:p w:rsidR="00354B46" w:rsidRPr="00354B46" w:rsidRDefault="00354B46" w:rsidP="00354B46">
      <w:pPr>
        <w:spacing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lang w:val="sv-SE"/>
        </w:rPr>
        <w:t>- Việt Nam nhập khẩu từ Kuwait quí I/09 : Đơn vị : ( USD)</w:t>
      </w:r>
    </w:p>
    <w:tbl>
      <w:tblPr>
        <w:tblW w:w="7690" w:type="dxa"/>
        <w:tblInd w:w="93" w:type="dxa"/>
        <w:tblCellMar>
          <w:left w:w="0" w:type="dxa"/>
          <w:right w:w="0" w:type="dxa"/>
        </w:tblCellMar>
        <w:tblLook w:val="04A0" w:firstRow="1" w:lastRow="0" w:firstColumn="1" w:lastColumn="0" w:noHBand="0" w:noVBand="1"/>
      </w:tblPr>
      <w:tblGrid>
        <w:gridCol w:w="1095"/>
        <w:gridCol w:w="3580"/>
        <w:gridCol w:w="615"/>
        <w:gridCol w:w="840"/>
        <w:gridCol w:w="1560"/>
      </w:tblGrid>
      <w:tr w:rsidR="00354B46" w:rsidRPr="00354B46" w:rsidTr="00354B46">
        <w:trPr>
          <w:trHeight w:val="360"/>
        </w:trPr>
        <w:tc>
          <w:tcPr>
            <w:tcW w:w="109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Chất dẻo nguyên liệu</w:t>
            </w:r>
          </w:p>
        </w:tc>
        <w:tc>
          <w:tcPr>
            <w:tcW w:w="61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Tấn</w:t>
            </w:r>
          </w:p>
        </w:tc>
        <w:tc>
          <w:tcPr>
            <w:tcW w:w="8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5,049</w:t>
            </w:r>
          </w:p>
        </w:tc>
        <w:tc>
          <w:tcPr>
            <w:tcW w:w="15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4,180,772</w:t>
            </w:r>
          </w:p>
        </w:tc>
      </w:tr>
      <w:tr w:rsidR="00354B46" w:rsidRPr="00354B46" w:rsidTr="00354B46">
        <w:trPr>
          <w:trHeight w:val="360"/>
        </w:trPr>
        <w:tc>
          <w:tcPr>
            <w:tcW w:w="109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Sản phẩm sắt thép</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lang w:val="pt-BR"/>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lang w:val="pt-BR"/>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273,120</w:t>
            </w:r>
          </w:p>
        </w:tc>
      </w:tr>
      <w:tr w:rsidR="00354B46" w:rsidRPr="00354B46" w:rsidTr="00354B46">
        <w:trPr>
          <w:trHeight w:val="360"/>
        </w:trPr>
        <w:tc>
          <w:tcPr>
            <w:tcW w:w="109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Sắt thép phế liệu</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Tấn</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287</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64,474</w:t>
            </w:r>
          </w:p>
        </w:tc>
      </w:tr>
      <w:tr w:rsidR="00354B46" w:rsidRPr="00354B46" w:rsidTr="00354B46">
        <w:trPr>
          <w:trHeight w:val="360"/>
        </w:trPr>
        <w:tc>
          <w:tcPr>
            <w:tcW w:w="109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Kuwait</w:t>
            </w:r>
          </w:p>
        </w:tc>
        <w:tc>
          <w:tcPr>
            <w:tcW w:w="358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Hàng hoá khác</w:t>
            </w:r>
          </w:p>
        </w:tc>
        <w:tc>
          <w:tcPr>
            <w:tcW w:w="61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rPr>
                <w:rFonts w:eastAsia="Times New Roman" w:cs="Times New Roman"/>
                <w:sz w:val="24"/>
                <w:szCs w:val="24"/>
              </w:rPr>
            </w:pPr>
            <w:r w:rsidRPr="00354B46">
              <w:rPr>
                <w:rFonts w:ascii="Arial" w:eastAsia="Times New Roman" w:hAnsi="Arial" w:cs="Arial"/>
                <w:color w:val="000000"/>
                <w:sz w:val="18"/>
                <w:szCs w:val="18"/>
              </w:rPr>
              <w:t> </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 </w:t>
            </w:r>
          </w:p>
        </w:tc>
        <w:tc>
          <w:tcPr>
            <w:tcW w:w="15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354B46" w:rsidRPr="00354B46" w:rsidRDefault="00354B46" w:rsidP="00354B46">
            <w:pPr>
              <w:spacing w:after="0" w:line="240" w:lineRule="auto"/>
              <w:jc w:val="right"/>
              <w:rPr>
                <w:rFonts w:eastAsia="Times New Roman" w:cs="Times New Roman"/>
                <w:sz w:val="24"/>
                <w:szCs w:val="24"/>
              </w:rPr>
            </w:pPr>
            <w:r w:rsidRPr="00354B46">
              <w:rPr>
                <w:rFonts w:ascii="Arial" w:eastAsia="Times New Roman" w:hAnsi="Arial" w:cs="Arial"/>
                <w:color w:val="000000"/>
                <w:sz w:val="18"/>
                <w:szCs w:val="18"/>
              </w:rPr>
              <w:t>19,857</w:t>
            </w:r>
          </w:p>
        </w:tc>
      </w:tr>
    </w:tbl>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b/>
          <w:bCs/>
          <w:color w:val="494949"/>
          <w:sz w:val="18"/>
          <w:szCs w:val="18"/>
          <w:lang w:val="sv-SE"/>
        </w:rPr>
        <w:t>Tổng : 4,539 Triệu USD</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w:t>
      </w:r>
    </w:p>
    <w:p w:rsidR="00354B46" w:rsidRPr="00354B46" w:rsidRDefault="00354B46" w:rsidP="00354B46">
      <w:pPr>
        <w:spacing w:after="0"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lastRenderedPageBreak/>
        <w:t> </w:t>
      </w:r>
    </w:p>
    <w:p w:rsidR="00354B46" w:rsidRPr="00354B46" w:rsidRDefault="00354B46" w:rsidP="00354B46">
      <w:pPr>
        <w:spacing w:line="240" w:lineRule="auto"/>
        <w:rPr>
          <w:rFonts w:ascii="Arial" w:eastAsia="Times New Roman" w:hAnsi="Arial" w:cs="Arial"/>
          <w:color w:val="494949"/>
          <w:sz w:val="18"/>
          <w:szCs w:val="18"/>
        </w:rPr>
      </w:pPr>
      <w:r w:rsidRPr="00354B46">
        <w:rPr>
          <w:rFonts w:ascii="Arial" w:eastAsia="Times New Roman" w:hAnsi="Arial" w:cs="Arial"/>
          <w:color w:val="494949"/>
          <w:sz w:val="18"/>
          <w:szCs w:val="18"/>
        </w:rPr>
        <w:t> </w:t>
      </w:r>
    </w:p>
    <w:p w:rsidR="005531FC" w:rsidRPr="00354B46" w:rsidRDefault="005531FC" w:rsidP="00354B46">
      <w:bookmarkStart w:id="0" w:name="_GoBack"/>
      <w:bookmarkEnd w:id="0"/>
    </w:p>
    <w:sectPr w:rsidR="005531FC" w:rsidRPr="00354B4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0E6D07"/>
    <w:rsid w:val="00354B46"/>
    <w:rsid w:val="003740F2"/>
    <w:rsid w:val="00491098"/>
    <w:rsid w:val="005531FC"/>
    <w:rsid w:val="005E1046"/>
    <w:rsid w:val="00686F73"/>
    <w:rsid w:val="006D2A16"/>
    <w:rsid w:val="006E4EFB"/>
    <w:rsid w:val="006F37D5"/>
    <w:rsid w:val="0072321A"/>
    <w:rsid w:val="00764E58"/>
    <w:rsid w:val="00895E3D"/>
    <w:rsid w:val="008E4083"/>
    <w:rsid w:val="00A81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 w:type="character" w:styleId="Hyperlink">
    <w:name w:val="Hyperlink"/>
    <w:basedOn w:val="DefaultParagraphFont"/>
    <w:uiPriority w:val="99"/>
    <w:semiHidden/>
    <w:unhideWhenUsed/>
    <w:rsid w:val="000E6D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206919924">
      <w:bodyDiv w:val="1"/>
      <w:marLeft w:val="0"/>
      <w:marRight w:val="0"/>
      <w:marTop w:val="0"/>
      <w:marBottom w:val="0"/>
      <w:divBdr>
        <w:top w:val="none" w:sz="0" w:space="0" w:color="auto"/>
        <w:left w:val="none" w:sz="0" w:space="0" w:color="auto"/>
        <w:bottom w:val="none" w:sz="0" w:space="0" w:color="auto"/>
        <w:right w:val="none" w:sz="0" w:space="0" w:color="auto"/>
      </w:divBdr>
      <w:divsChild>
        <w:div w:id="1106776429">
          <w:marLeft w:val="0"/>
          <w:marRight w:val="0"/>
          <w:marTop w:val="0"/>
          <w:marBottom w:val="150"/>
          <w:divBdr>
            <w:top w:val="none" w:sz="0" w:space="0" w:color="auto"/>
            <w:left w:val="none" w:sz="0" w:space="0" w:color="auto"/>
            <w:bottom w:val="none" w:sz="0" w:space="0" w:color="auto"/>
            <w:right w:val="none" w:sz="0" w:space="0" w:color="auto"/>
          </w:divBdr>
        </w:div>
        <w:div w:id="1522473442">
          <w:marLeft w:val="0"/>
          <w:marRight w:val="0"/>
          <w:marTop w:val="0"/>
          <w:marBottom w:val="300"/>
          <w:divBdr>
            <w:top w:val="none" w:sz="0" w:space="0" w:color="auto"/>
            <w:left w:val="none" w:sz="0" w:space="0" w:color="auto"/>
            <w:bottom w:val="none" w:sz="0" w:space="0" w:color="auto"/>
            <w:right w:val="none" w:sz="0" w:space="0" w:color="auto"/>
          </w:divBdr>
          <w:divsChild>
            <w:div w:id="32370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521824594">
      <w:bodyDiv w:val="1"/>
      <w:marLeft w:val="0"/>
      <w:marRight w:val="0"/>
      <w:marTop w:val="0"/>
      <w:marBottom w:val="0"/>
      <w:divBdr>
        <w:top w:val="none" w:sz="0" w:space="0" w:color="auto"/>
        <w:left w:val="none" w:sz="0" w:space="0" w:color="auto"/>
        <w:bottom w:val="none" w:sz="0" w:space="0" w:color="auto"/>
        <w:right w:val="none" w:sz="0" w:space="0" w:color="auto"/>
      </w:divBdr>
      <w:divsChild>
        <w:div w:id="1310357816">
          <w:marLeft w:val="0"/>
          <w:marRight w:val="0"/>
          <w:marTop w:val="0"/>
          <w:marBottom w:val="150"/>
          <w:divBdr>
            <w:top w:val="none" w:sz="0" w:space="0" w:color="auto"/>
            <w:left w:val="none" w:sz="0" w:space="0" w:color="auto"/>
            <w:bottom w:val="none" w:sz="0" w:space="0" w:color="auto"/>
            <w:right w:val="none" w:sz="0" w:space="0" w:color="auto"/>
          </w:divBdr>
        </w:div>
        <w:div w:id="265890576">
          <w:marLeft w:val="0"/>
          <w:marRight w:val="0"/>
          <w:marTop w:val="0"/>
          <w:marBottom w:val="300"/>
          <w:divBdr>
            <w:top w:val="none" w:sz="0" w:space="0" w:color="auto"/>
            <w:left w:val="none" w:sz="0" w:space="0" w:color="auto"/>
            <w:bottom w:val="none" w:sz="0" w:space="0" w:color="auto"/>
            <w:right w:val="none" w:sz="0" w:space="0" w:color="auto"/>
          </w:divBdr>
        </w:div>
      </w:divsChild>
    </w:div>
    <w:div w:id="756364064">
      <w:bodyDiv w:val="1"/>
      <w:marLeft w:val="0"/>
      <w:marRight w:val="0"/>
      <w:marTop w:val="0"/>
      <w:marBottom w:val="0"/>
      <w:divBdr>
        <w:top w:val="none" w:sz="0" w:space="0" w:color="auto"/>
        <w:left w:val="none" w:sz="0" w:space="0" w:color="auto"/>
        <w:bottom w:val="none" w:sz="0" w:space="0" w:color="auto"/>
        <w:right w:val="none" w:sz="0" w:space="0" w:color="auto"/>
      </w:divBdr>
      <w:divsChild>
        <w:div w:id="41440254">
          <w:marLeft w:val="0"/>
          <w:marRight w:val="0"/>
          <w:marTop w:val="0"/>
          <w:marBottom w:val="150"/>
          <w:divBdr>
            <w:top w:val="none" w:sz="0" w:space="0" w:color="auto"/>
            <w:left w:val="none" w:sz="0" w:space="0" w:color="auto"/>
            <w:bottom w:val="none" w:sz="0" w:space="0" w:color="auto"/>
            <w:right w:val="none" w:sz="0" w:space="0" w:color="auto"/>
          </w:divBdr>
        </w:div>
        <w:div w:id="1540894497">
          <w:marLeft w:val="0"/>
          <w:marRight w:val="0"/>
          <w:marTop w:val="0"/>
          <w:marBottom w:val="300"/>
          <w:divBdr>
            <w:top w:val="none" w:sz="0" w:space="0" w:color="auto"/>
            <w:left w:val="none" w:sz="0" w:space="0" w:color="auto"/>
            <w:bottom w:val="none" w:sz="0" w:space="0" w:color="auto"/>
            <w:right w:val="none" w:sz="0" w:space="0" w:color="auto"/>
          </w:divBdr>
        </w:div>
      </w:divsChild>
    </w:div>
    <w:div w:id="962542817">
      <w:bodyDiv w:val="1"/>
      <w:marLeft w:val="0"/>
      <w:marRight w:val="0"/>
      <w:marTop w:val="0"/>
      <w:marBottom w:val="0"/>
      <w:divBdr>
        <w:top w:val="none" w:sz="0" w:space="0" w:color="auto"/>
        <w:left w:val="none" w:sz="0" w:space="0" w:color="auto"/>
        <w:bottom w:val="none" w:sz="0" w:space="0" w:color="auto"/>
        <w:right w:val="none" w:sz="0" w:space="0" w:color="auto"/>
      </w:divBdr>
      <w:divsChild>
        <w:div w:id="1361930397">
          <w:marLeft w:val="0"/>
          <w:marRight w:val="0"/>
          <w:marTop w:val="0"/>
          <w:marBottom w:val="150"/>
          <w:divBdr>
            <w:top w:val="none" w:sz="0" w:space="0" w:color="auto"/>
            <w:left w:val="none" w:sz="0" w:space="0" w:color="auto"/>
            <w:bottom w:val="none" w:sz="0" w:space="0" w:color="auto"/>
            <w:right w:val="none" w:sz="0" w:space="0" w:color="auto"/>
          </w:divBdr>
        </w:div>
        <w:div w:id="1246453711">
          <w:marLeft w:val="0"/>
          <w:marRight w:val="0"/>
          <w:marTop w:val="0"/>
          <w:marBottom w:val="300"/>
          <w:divBdr>
            <w:top w:val="none" w:sz="0" w:space="0" w:color="auto"/>
            <w:left w:val="none" w:sz="0" w:space="0" w:color="auto"/>
            <w:bottom w:val="none" w:sz="0" w:space="0" w:color="auto"/>
            <w:right w:val="none" w:sz="0" w:space="0" w:color="auto"/>
          </w:divBdr>
          <w:divsChild>
            <w:div w:id="18483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10661741">
      <w:bodyDiv w:val="1"/>
      <w:marLeft w:val="0"/>
      <w:marRight w:val="0"/>
      <w:marTop w:val="0"/>
      <w:marBottom w:val="0"/>
      <w:divBdr>
        <w:top w:val="none" w:sz="0" w:space="0" w:color="auto"/>
        <w:left w:val="none" w:sz="0" w:space="0" w:color="auto"/>
        <w:bottom w:val="none" w:sz="0" w:space="0" w:color="auto"/>
        <w:right w:val="none" w:sz="0" w:space="0" w:color="auto"/>
      </w:divBdr>
      <w:divsChild>
        <w:div w:id="1642425289">
          <w:marLeft w:val="0"/>
          <w:marRight w:val="0"/>
          <w:marTop w:val="0"/>
          <w:marBottom w:val="150"/>
          <w:divBdr>
            <w:top w:val="none" w:sz="0" w:space="0" w:color="auto"/>
            <w:left w:val="none" w:sz="0" w:space="0" w:color="auto"/>
            <w:bottom w:val="none" w:sz="0" w:space="0" w:color="auto"/>
            <w:right w:val="none" w:sz="0" w:space="0" w:color="auto"/>
          </w:divBdr>
        </w:div>
        <w:div w:id="481581105">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2022-07-29T07:53:00Z</dcterms:created>
  <dcterms:modified xsi:type="dcterms:W3CDTF">2022-07-29T07:53:00Z</dcterms:modified>
</cp:coreProperties>
</file>