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F73" w:rsidRPr="00686F73" w:rsidRDefault="00686F73" w:rsidP="00686F73">
      <w:pPr>
        <w:spacing w:after="150" w:line="240" w:lineRule="auto"/>
        <w:rPr>
          <w:rFonts w:ascii="Arial" w:eastAsia="Times New Roman" w:hAnsi="Arial" w:cs="Arial"/>
          <w:b/>
          <w:bCs/>
          <w:color w:val="494949"/>
          <w:sz w:val="18"/>
          <w:szCs w:val="18"/>
        </w:rPr>
      </w:pPr>
      <w:r w:rsidRPr="00686F73">
        <w:rPr>
          <w:rFonts w:ascii="Arial" w:eastAsia="Times New Roman" w:hAnsi="Arial" w:cs="Arial"/>
          <w:b/>
          <w:bCs/>
          <w:color w:val="494949"/>
          <w:sz w:val="18"/>
          <w:szCs w:val="18"/>
        </w:rPr>
        <w:t>Thương Vụ Việt Nam tại Kuwait xin giới thiệu tổng quan tình hình quan hệ kinh tế thương mại giữa Việt Nam - Kuwait thời gian qua và những tiềm năng, cơ hội hợp tác đầu tư, phát triển xuất khẩu cho Việt Nam với  thị trường này trong thời gian tới .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w:t>
      </w:r>
      <w:r w:rsidRPr="00686F73">
        <w:rPr>
          <w:rFonts w:ascii="Arial" w:eastAsia="Times New Roman" w:hAnsi="Arial" w:cs="Arial"/>
          <w:b/>
          <w:bCs/>
          <w:color w:val="494949"/>
          <w:sz w:val="18"/>
          <w:szCs w:val="18"/>
        </w:rPr>
        <w:t>1- Đánh giá chung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Hainước đã ký kết các hiệp định: Hiệp định khung về hợp tác kinh tế, khoa học, kỹ thuật (3/5/1995); Hiệp định Thương mại (3/5/1995); Hiệp định vận chuyển hàng không (9/5/2001); Nghị định thư về hợp tác giữa hai Bộ Ngoại giao (6/2005);  Nghị định thư về lập UBHH; Hiệp định khuyến khích và bảo hộ đầu tư; Hiệp định về hợp tác giữa hai Phòng Thương mại và Công nghiệp (5/2007); Hiệp định về tránh đánh thuế hai lần (3/2009).</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Quan hệ hợp tác kinh tế, thương mại giữa Việt Nam và Kuwait trong thời gian qua phát triển tốt đẹp, chủ yếu tập trung vào các lĩnh vực thương mại, tài chính, đầu tư, dầu khí.</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Do dung lượng thị trường Kuwait nhỏ (dân số năm 2010 khoảng 2,7 triệu người, nếu tính cả dân ngụ cư và người lao động nước ngoài tại Kuwait chỉ khoảng trên 3,5 triệu người ) , mặt khác khả năng tái xuất khẩu của Kuwait còn hạn chế , nên kim ngạch xuất khẩu của Việt Nam sang Kuwait không lớn. Việt Nam chủ yếu nhập siêu từ Kuwait do ta nhập khẩu xăng dầu, hoá chất và phân bón (là những thế mạnh của Kuwait) với khối lượng lớn để phục vụ sản xuất trong nước.</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Năm 2008, kim ngạch hai chiều VN- KW  đạt: 116,65 triệu USD  theo số liệu của Hải Quan Việt Nam, ( 160 triệu USD theo số liệu Hải Quan Kuwait , vì tính cả giá trị hàng quá cảnh từ nước thứ 3 ).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Trong đó:  Việt Nam xuất khẩu sang Kuwait đạt ; 39,5 triệu USD, tăng 151,6% so năm 2007 , Việt Nam nhập khẩu từ Kuwait đat 77,15 triệu USD (chưa kể kim ngạch nhập khẩu xăng dầu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Năm 2009, kim ngạch thương mại 2 chiều đạt 62,5 triệu USD, trong đó Việt Nam xuất khẩu 40,9 triệu USD và nhập khẩu 21,6 triệu USD (xuất siêu 19,3 triệu USD). Năm 2010, kim ngạch thương mại 2 chiều đạt 402,6 triệu USD, trong đó: xuất khẩu 29,9 triệu USD chỉ bằng 73,1 % so với cùng kỳ năm 2009, nhập khẩu 372,7 triệu USD tăng 17,2 % so với cùng kỳ năm 2009.</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Năm 2010 ,tổng kim ngạch hai chiều giữa Việt Nam – Kuwait đạt </w:t>
      </w:r>
      <w:r w:rsidRPr="00686F73">
        <w:rPr>
          <w:rFonts w:ascii="Arial" w:eastAsia="Times New Roman" w:hAnsi="Arial" w:cs="Arial"/>
          <w:b/>
          <w:bCs/>
          <w:color w:val="494949"/>
          <w:sz w:val="18"/>
          <w:szCs w:val="18"/>
        </w:rPr>
        <w:t>: 402.731.341,00 USD</w:t>
      </w:r>
      <w:r w:rsidRPr="00686F73">
        <w:rPr>
          <w:rFonts w:ascii="Arial" w:eastAsia="Times New Roman" w:hAnsi="Arial" w:cs="Arial"/>
          <w:color w:val="494949"/>
          <w:sz w:val="18"/>
          <w:szCs w:val="18"/>
        </w:rPr>
        <w:t>. Trong đó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Việt nam xuất khẩu sang Kuwait </w:t>
      </w:r>
      <w:r w:rsidRPr="00686F73">
        <w:rPr>
          <w:rFonts w:ascii="Arial" w:eastAsia="Times New Roman" w:hAnsi="Arial" w:cs="Arial"/>
          <w:b/>
          <w:bCs/>
          <w:color w:val="494949"/>
          <w:sz w:val="18"/>
          <w:szCs w:val="18"/>
        </w:rPr>
        <w:t>: 29.961.647 ,00 USD</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Việt nam nhập khẩu từ Kuwait đạt : </w:t>
      </w:r>
      <w:r w:rsidRPr="00686F73">
        <w:rPr>
          <w:rFonts w:ascii="Arial" w:eastAsia="Times New Roman" w:hAnsi="Arial" w:cs="Arial"/>
          <w:b/>
          <w:bCs/>
          <w:color w:val="494949"/>
          <w:sz w:val="18"/>
          <w:szCs w:val="18"/>
        </w:rPr>
        <w:t>372.769.694,00 USD.</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Năm 2011 : Tám tháng đầu năm 2011 , kim ngạch hai chiều Việt nam Kuwait đạt :</w:t>
      </w:r>
      <w:r w:rsidRPr="00686F73">
        <w:rPr>
          <w:rFonts w:ascii="Arial" w:eastAsia="Times New Roman" w:hAnsi="Arial" w:cs="Arial"/>
          <w:b/>
          <w:bCs/>
          <w:color w:val="494949"/>
          <w:sz w:val="18"/>
          <w:szCs w:val="18"/>
        </w:rPr>
        <w:t>635.665.837,0 USD</w:t>
      </w:r>
      <w:r w:rsidRPr="00686F73">
        <w:rPr>
          <w:rFonts w:ascii="Arial" w:eastAsia="Times New Roman" w:hAnsi="Arial" w:cs="Arial"/>
          <w:color w:val="494949"/>
          <w:sz w:val="18"/>
          <w:szCs w:val="18"/>
        </w:rPr>
        <w:t>,</w:t>
      </w:r>
      <w:r w:rsidRPr="00686F73">
        <w:rPr>
          <w:rFonts w:ascii="Arial" w:eastAsia="Times New Roman" w:hAnsi="Arial" w:cs="Arial"/>
          <w:b/>
          <w:bCs/>
          <w:color w:val="494949"/>
          <w:sz w:val="18"/>
          <w:szCs w:val="18"/>
        </w:rPr>
        <w:t>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Trong đó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Việt Nam xuất khẩu sang Kuwait đạt : </w:t>
      </w:r>
      <w:r w:rsidRPr="00686F73">
        <w:rPr>
          <w:rFonts w:ascii="Arial" w:eastAsia="Times New Roman" w:hAnsi="Arial" w:cs="Arial"/>
          <w:b/>
          <w:bCs/>
          <w:color w:val="494949"/>
          <w:sz w:val="18"/>
          <w:szCs w:val="18"/>
        </w:rPr>
        <w:t>25.017.150,0 USD</w:t>
      </w:r>
      <w:r w:rsidRPr="00686F73">
        <w:rPr>
          <w:rFonts w:ascii="Arial" w:eastAsia="Times New Roman" w:hAnsi="Arial" w:cs="Arial"/>
          <w:color w:val="494949"/>
          <w:sz w:val="18"/>
          <w:szCs w:val="18"/>
        </w:rPr>
        <w:t>,</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Việt Nam nhập khẩu từ Kuwait đạt : </w:t>
      </w:r>
      <w:r w:rsidRPr="00686F73">
        <w:rPr>
          <w:rFonts w:ascii="Arial" w:eastAsia="Times New Roman" w:hAnsi="Arial" w:cs="Arial"/>
          <w:b/>
          <w:bCs/>
          <w:color w:val="494949"/>
          <w:sz w:val="18"/>
          <w:szCs w:val="18"/>
        </w:rPr>
        <w:t>610.648.687,0 USD</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Về hợp tác tài chính và đầu tư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Sau chuyến thăm giữa lãnh đạo cấp cao hai nước , hợp tác tài chính và đầu tư giữa Việt Nam – Kuwait đã đạt được thành quả đáng kể , nổi bật nhất là dự án lọc hóa dầu Nghi Sơn tại Việt nam với tổng số vốn đầu tư 6 tỷ USD , trong đó Kuwait góp vốn 35% , Việt nam góp 25% . Kuwait đảm bảo cung cấp 100% dầu thô cho nhà máy lọc dầu nghi Sơn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Ngoài ra , từ năm 1979 đến nay , phía Kuwait đã hỗ trợ tài chính cho 9 dự án cơ sở hạ tầng tại Việt Nam với trị giá 124 triệu USD . Riêng  thông qua Quỹ đầu tư phát triển kinh tế Ả-rập, Kuwait cho Việt Nam vay vốn để thực hiện các công trình, dự án xây dựng cơ sở hạ tầng. Đến nay, Việt Nam đã ký kết 7 Hiệp định vay Quỹ phát triên kinh tế Ả-rập của Kuwait với tổng trị giá khoảng 110 triệu USD.</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Các dự án dầu khí đang triển khai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color w:val="494949"/>
          <w:sz w:val="18"/>
          <w:szCs w:val="18"/>
        </w:rPr>
        <w:t>Về các dự án tại Việt Nam</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i/>
          <w:iCs/>
          <w:color w:val="494949"/>
          <w:sz w:val="18"/>
          <w:szCs w:val="18"/>
        </w:rPr>
        <w:t>a. Phát triển khâu thượng nguồn</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KUFPEC là công ty thành viên của Tổng công ty Dầu khí Kuwait (KPC) đã tham gia vào 3 hợp đồng phần chia sản phẩm tại Việt Nam ở các lô 19, 20 và 51. Hiện nay, Kufpec đang quan tâm đến lô 13/03 thềm lục địa Việt Nam. PVEP đã thỏa thuận xong với đối tác hiện tại là Santos để Kufpec (Kuwait) có thể tham gia tới 20% trong phần của Santos (Kufpec chưa đọc tài liệu nên việc quyết định tham gia còn để ngỏ).</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i/>
          <w:iCs/>
          <w:color w:val="494949"/>
          <w:sz w:val="18"/>
          <w:szCs w:val="18"/>
        </w:rPr>
        <w:t>Các cơ hội/lô mở nước sâu</w:t>
      </w:r>
      <w:r w:rsidRPr="00686F73">
        <w:rPr>
          <w:rFonts w:ascii="Arial" w:eastAsia="Times New Roman" w:hAnsi="Arial" w:cs="Arial"/>
          <w:color w:val="494949"/>
          <w:sz w:val="18"/>
          <w:szCs w:val="18"/>
        </w:rPr>
        <w:t>: Ngoài ra PVN đã giới thiệu và hoan nghênh phía Kuwait nghiên cứu để tham gia các cơ hội/lô mở nước sâu ở bể Phú khánh (146-147, 150-155) và các lô ở trũng Vĩnh Châu (32-41, 43-44), bể Nam Côn Sơn (lô 05.3 mở) nhưng hiện tại bạn chưa có phản hồi.</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i/>
          <w:iCs/>
          <w:color w:val="494949"/>
          <w:sz w:val="18"/>
          <w:szCs w:val="18"/>
        </w:rPr>
        <w:t>b. Phát triển khâu hạ nguồn</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Công ty KPI là đơn vị thành viên của Tổng công ty Dầu khí Kuwait (KPC) đang cùng phía Nhật Bản tham gia dự án Liên hợp Lọc Hoá dầu Nghi Sơn và cam kết cung cấp dầu thô cho cả đời Nhà máy.</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Đến nay, Dự án đã hoàn thành Thiết kế tổng thể (FEED) và Tổng Dự toán bậc 2. Thiết kế FEED đã được các bên phê duyệt.</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Hiện nay, Công ty TNHH Lọc hóa dầu Nghi sơn đang triển khai công tác đấu thầu lựa chọn Tư vấn quản lý Dự án và đấu thầu lựa chọn Nhà thầu Thiết kế – Mua sắm – Xây dựng (EPC). Đồng thời, Công ty cũng đang tích cực hoàn thiện các hợp đồng bao tiêu sản phẩm, đàm phán thỏa thuận bảo lãnh Chính phủ (GGU), và làm việc với các ngân hàng để thu xếp tài chính.</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Bên cạnh các công việc do Liên doanh thực hiện, phía Việt Nam cũng đang triển khai các công tác giải phóng, san lấp mặt bằng, và xây dựng hạ tầng cho Dự án.</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Theo tiến độ dự kiến, công tác giải phóng và san lấp mặt bằng sẽ hoàn thành vào cuối năm 2010; công tác đấu thầu và thu xếp tài chính sẽ hoàn thành vào đầu năm 2011 để khởi công EPC vào đầu năm 2011, và phấn đấu đưa Liên hợp vào vận hành thương mại vào cuối năm 2014.</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color w:val="494949"/>
          <w:sz w:val="18"/>
          <w:szCs w:val="18"/>
        </w:rPr>
        <w:t>Các dự án tại Kuwait</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PVN đã cử hai đoàn cấp cao sang Cô-oét để tìm kiếm cơ hội đầu tư vào lĩnh vực thăm dò khai thác dầu khí, nhưng chưa có đầu tư hoặc dự án nào được thực hiện do quy định của Cô-oét chưa rõ ràng trong vấn đề này.</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color w:val="494949"/>
          <w:sz w:val="18"/>
          <w:szCs w:val="18"/>
        </w:rPr>
        <w:t>Các dự án tại nước thứ ba</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lastRenderedPageBreak/>
        <w:t>Tổ hợp bao gồm PVEP (Việt Nam) – giữ 15%, Kufpec (Kuwait) – giữ 25%, Petronas (Malaysia) – giữ 30% và Petrofac (Vương quốc Anh) – giữ 30% đang tham gia vào dự án Lô PM-304 tại Malaysia; sản lượng khai thác dầu tại lô này là 14.000 thùng/ngày đang cho kết quả tốt.</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Hiện tổ hợp này đang nghiên cứu để mở rộng sang Lô PM-324 tại Malaysia.</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color w:val="494949"/>
          <w:sz w:val="18"/>
          <w:szCs w:val="18"/>
        </w:rPr>
        <w:t>. Hợp tác kinh doanh thương mại các sản phẩm dầu khí</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Trước đây, Petrolimex đã có quan hệ thương mại bạn hàng với Công ty xăng dầu quốc gia của Kuwait(KPC) và bắt đầu mua hàng của KPC vào đầu những năm 90s (1993-1994) thông qua mua bán spot (chuyến).</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Tuy nhiên, từ cuối năm 2006 và đầu năm 2007, do nhiều nguyên nhân(giá của Công ty KPC không cạnh tranh, Việt Nam chuẩn bị chuyển đổi chất lượng diezel, một số chỉ tiêu nghiêm ngặt hơn...) thì khả năng đáp ứng củacông tyKPC không còn do đó hợp đồng dài hạn giữa Petrolimex và KPC cũng chấm dứt. Từ đó đến nay, hai bên vẫn duy trì tiếp xúc nhưng quan hệ mua bán vẫn chưa thể nối lại với lý do chính vẫn là sự khác biệt về chủng loại</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Bắt đầu từ tháng 1/2010, sau quá trình nỗ lực đàm phán, hai bên đã chính thức ký hợp đồng dài hạn nối lại việc cung cấp diezel. Như vậy trong năm 2010, khối lượng buôn bán hai bênướcđạt khoảng 500.000 MT với tổng kim ngạch xấp xỉ 320 triệu USD.</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Kỳ họp lần thứ 1 Ủy ban Hỗn hợp Việt Nam – Kuwait tổ chức tại Hà Nội tháng 12/2009 đã đề ra phương hướng đẩy mạnh hợp tác toàn diện giữa hai nước, đặc biệt là trong lĩnh vực thương mại, dầu khí, đầu tư, xây dựng, xuất khẩu lao động… Liên quan đến lĩnh vực thương mại, hai Bên đã thỏa thuận: ‘‘Hai Bên tiếp tục tăng cường trao đổi các đoàn thương mại; tổ chức hội chợ và triển lãm ở mỗi nước; tăng cường trao đổi thông tin; phía Việt Nam đề nghị cung cấp cho Kuwait  các sản phẩm gạo, hạt tiêu, cà phê, trà, gia vị, rau quả, thủy sản, sản phẩm sữa; phía Việt Nam đề nghị phía Kuwait công nhận Việt Nam có nền kinh tế thị trường”. Cũng tại kỳ họp, Bộ trưởng ta đã trao thư cho Bộ trưởng Thương mại và Công nghiệp Kuwait về việc đề nghị Bạn công nhận Việt Nam có nền kinh tế thị trường đầy đủ. Đến nay, Bạn vẫn chưa có phản hồi về đề nghị này.</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i/>
          <w:iCs/>
          <w:color w:val="494949"/>
          <w:sz w:val="18"/>
          <w:szCs w:val="18"/>
          <w:u w:val="single"/>
        </w:rPr>
        <w:t>Hainước có thể triển khai hợp tác chặt chẽ, lâu dài theo nguyên tắc Kuwait giúp Việt Nam đảm bảo an ninh năng lượng và Việt Nam giúp Kuwait đảm bảo an ninh lương thực. Hai bên cần sớm triển khai nghiên cứu khả năng thiết lập quan hệ đối tác về năng lượng và lương thực.</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color w:val="494949"/>
          <w:sz w:val="18"/>
          <w:szCs w:val="18"/>
        </w:rPr>
        <w:t>2 – Thế mạnh của nền kinh tế Kuwait</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Kuwait có tài nguyên chính là dầu lửa và khí đốt với trữ lượng khoảng hơn 6 tỷ km</w:t>
      </w:r>
      <w:r w:rsidRPr="00686F73">
        <w:rPr>
          <w:rFonts w:ascii="Arial" w:eastAsia="Times New Roman" w:hAnsi="Arial" w:cs="Arial"/>
          <w:color w:val="494949"/>
          <w:sz w:val="18"/>
          <w:szCs w:val="18"/>
          <w:vertAlign w:val="superscript"/>
        </w:rPr>
        <w:t>3</w:t>
      </w:r>
      <w:r w:rsidRPr="00686F73">
        <w:rPr>
          <w:rFonts w:ascii="Arial" w:eastAsia="Times New Roman" w:hAnsi="Arial" w:cs="Arial"/>
          <w:color w:val="494949"/>
          <w:sz w:val="18"/>
          <w:szCs w:val="18"/>
        </w:rPr>
        <w:t>(chiếm 10% trữ lượng thế giới) , đứng thứ 4 thế giới về xuất khẩu dầu lửa .Dầu lửa và khí đốt của Kuwaitlà nguồn thu nhập chính chiếm 90% tổng thu ngân sách và 90% giá trị xuất khẩu. Với lợi thế dân số ít, GDP các năm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Năm 2008 : 39,991 tỷ KD = 143,9 tỷ USD., Năm 2009 : 31,5 tỷ KD = 113,3 tỷ USD ., năm 2010 : 36,9 tỷ KD = 133,0 tỷ USD . Bình quân GDP của Kuwait cao khoảng 130 tỷ USD / năm.</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 Nguồn thống kê Ngân hàng TW và KUNA – cơ quan thông tin nhà nước Kuwait ). Đăng trên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Báo Arab Times ngày 10/5/2011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Kuwaitlàquốc gia có tiềm lực tài chính rất mạnh,mức thặng dư tài chính của Kuwait bình quân từ năm 2008 - 2010  đạt khoảng 12,5 tỷ KD tương đương với 44,64 tỷ USD/năm , riêng 6 tháng đầu năm 2011thặng dư ngân sách Kuwait đạt 8,87 tỷ KD = 32,2 tỷ USD và là đối tác đầu tư tiềm năng trong các lĩnh vực cơ sở hạ tầng. Việt Nam có thể tận dụng thế mạnh này của Kuwait để nhập khẩu trực tiếp dầu thô cho các nhà máy lọc dầu , nhập xăng dầu , khí đốt ,các chế phẩm từ dầu mỏ ... phục vụ cho sản xuất, tiêu dùng trong nước đảm bảo an ninh năng lượng trên cơ sở văn bản thỏa thuận hợp tác UBHH giữa hai nước .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Kế hoạch của Kuwait đến 2015 trở thành Trung tâm tài chính của khu vực và nỗ lực đầu tư tài chính ra nước ngoài , đặc biệt hướng tới các nước đang phát triển tại Châu Á. Đây là cơ hội cho Việt nam kêu gọi hợp tác đầu tư trong lĩnh vực dầu khí và tài chính từ các quĩ nhàn rỗi của Kuwait., đặc biệt từ nguồn quĩ  ” Vì thế hệ tương lai Kuwait” ( hàng năm Kuwait trich 10% thặng dư ngân sách cho quĩ này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b/>
          <w:bCs/>
          <w:color w:val="494949"/>
          <w:sz w:val="18"/>
          <w:szCs w:val="18"/>
        </w:rPr>
        <w:t>3- Tiềm năng cho xuất khẩu của Việt nam</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 Toàn bộ địa hình Kuwait nằm trên sa mạc có hai mùa rõ rệt với khí hậu khắc nghiệt , mùa hè nắng nóng bình quân 50 độ C, mùa đông nhiệt độ ban đêm có lúc xuống -3 độ C, mưa rất ít , quanh năm nắng chói . Vì vậy , Kuwait không thể phát triển nông nghiệp ,hầu như toàn bộ lương thực , thực phẩm đều phải nhập khẩu từ bên ngoài , tuy có một ít sản lượng thủy sản tự đánh bắt nhưng không đáng kể . Với lợi thế là một nước nông nghiệp giàu tiềm năng , Việt nam sẽ có nhiều ưu thế xuất khẩu các sản phẩm nông nghiệp như gạo , thực phẩm , Rau hoa quả , thủy hải sản ,cà phê ,chè , hạt tiêu , hạt điều , bánh kẹo , sữa và các sản phẩm từ sữa... đặc biệt là lương thực , thực phẩm ,rau quả chế biến sâu. Đồng thời tận dụng các nguồn vốn dư thừa của Kuwait hợp tác đầu tư bao tiêu sản phẩm phát triển nông nghiệp tại Việt nam .</w:t>
      </w:r>
    </w:p>
    <w:p w:rsidR="00686F73" w:rsidRPr="00686F73" w:rsidRDefault="00686F73" w:rsidP="00686F73">
      <w:pPr>
        <w:spacing w:after="0"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Ngoài khả năng to lớn về công nghiệp khai thác , chế biến , xuất khẩu đầu lửa , nền sản xuất công nghiệp của Kuwait hầu như không có gì đáng kể . Để phục vụ cho tiêu dùng , dịch vụ và sản xuất nhỏ tại Kuwait đều phụ thuộc vào nhập khẩu . Đây cũng là cơ hội xuất khẩu cho các sản phẩm công nghiệp nhẹ của Việt nam như : vải vóc , dệt may, giày dép ,máy móc ,thiết bị , phụ tùng ,linh kiện điện tử ,điện thoại và linh kiện , đồ điện dân dụng , dây điện và cáp điện , đồ gỗ , đồ gốm sứ , thủ công mỹ nghệ , mây tre đan , hàng bách hóa, sản phẩm chất dẻo , sản phẩm sắt thép , đồ chơi trẻ em , giấy vở các loại , văn phòng phẩm ...</w:t>
      </w:r>
    </w:p>
    <w:p w:rsidR="00686F73" w:rsidRPr="00686F73" w:rsidRDefault="00686F73" w:rsidP="00686F73">
      <w:pPr>
        <w:spacing w:line="240" w:lineRule="auto"/>
        <w:rPr>
          <w:rFonts w:ascii="Arial" w:eastAsia="Times New Roman" w:hAnsi="Arial" w:cs="Arial"/>
          <w:color w:val="494949"/>
          <w:sz w:val="18"/>
          <w:szCs w:val="18"/>
        </w:rPr>
      </w:pPr>
      <w:r w:rsidRPr="00686F73">
        <w:rPr>
          <w:rFonts w:ascii="Arial" w:eastAsia="Times New Roman" w:hAnsi="Arial" w:cs="Arial"/>
          <w:color w:val="494949"/>
          <w:sz w:val="18"/>
          <w:szCs w:val="18"/>
        </w:rPr>
        <w:t>-  Kuwait có nhu cầu cao nhập khẩu các thiết bị , vật tư , vật liệu dùng trong xây dựng dân dụng , công nghiệp khai thác , chế biến dầu khí , xây dựng hạ tầng cơ sở , khu công nghiệp , giao thông , đô thị vệ tinh , cầu cống , xây dựng các Trung tâm tài chính , thương mại , khu vui chơi giải trí ...theo các dự án lớn đã được nhà nước duyệt cho giai đoạn 2005- 2015 . Đây là tiềm năng xuất khẩu cho các vật liệu xây dựng của Việt nam như : Xi măng , đá ốp lát , sắt thép dùng trong xây dựng , gạch , ngói , kính xây dựng , thiết bị vật tư chuyên dùng , dây cáp điện , dây , que hàn ...</w:t>
      </w:r>
    </w:p>
    <w:p w:rsidR="005531FC" w:rsidRPr="00686F73" w:rsidRDefault="005531FC" w:rsidP="00686F73">
      <w:bookmarkStart w:id="0" w:name="_GoBack"/>
      <w:bookmarkEnd w:id="0"/>
    </w:p>
    <w:sectPr w:rsidR="005531FC" w:rsidRPr="00686F7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21A"/>
    <w:rsid w:val="003740F2"/>
    <w:rsid w:val="005531FC"/>
    <w:rsid w:val="005E1046"/>
    <w:rsid w:val="00686F73"/>
    <w:rsid w:val="006F37D5"/>
    <w:rsid w:val="00723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80F7E7-667D-4DF0-8CF3-C5D0315A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2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72321A"/>
    <w:rPr>
      <w:b/>
      <w:bCs/>
    </w:rPr>
  </w:style>
  <w:style w:type="character" w:styleId="Emphasis">
    <w:name w:val="Emphasis"/>
    <w:basedOn w:val="DefaultParagraphFont"/>
    <w:uiPriority w:val="20"/>
    <w:qFormat/>
    <w:rsid w:val="007232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65728">
      <w:bodyDiv w:val="1"/>
      <w:marLeft w:val="0"/>
      <w:marRight w:val="0"/>
      <w:marTop w:val="0"/>
      <w:marBottom w:val="0"/>
      <w:divBdr>
        <w:top w:val="none" w:sz="0" w:space="0" w:color="auto"/>
        <w:left w:val="none" w:sz="0" w:space="0" w:color="auto"/>
        <w:bottom w:val="none" w:sz="0" w:space="0" w:color="auto"/>
        <w:right w:val="none" w:sz="0" w:space="0" w:color="auto"/>
      </w:divBdr>
      <w:divsChild>
        <w:div w:id="1191332789">
          <w:marLeft w:val="0"/>
          <w:marRight w:val="0"/>
          <w:marTop w:val="0"/>
          <w:marBottom w:val="150"/>
          <w:divBdr>
            <w:top w:val="none" w:sz="0" w:space="0" w:color="auto"/>
            <w:left w:val="none" w:sz="0" w:space="0" w:color="auto"/>
            <w:bottom w:val="none" w:sz="0" w:space="0" w:color="auto"/>
            <w:right w:val="none" w:sz="0" w:space="0" w:color="auto"/>
          </w:divBdr>
        </w:div>
        <w:div w:id="248201180">
          <w:marLeft w:val="0"/>
          <w:marRight w:val="0"/>
          <w:marTop w:val="0"/>
          <w:marBottom w:val="300"/>
          <w:divBdr>
            <w:top w:val="none" w:sz="0" w:space="0" w:color="auto"/>
            <w:left w:val="none" w:sz="0" w:space="0" w:color="auto"/>
            <w:bottom w:val="none" w:sz="0" w:space="0" w:color="auto"/>
            <w:right w:val="none" w:sz="0" w:space="0" w:color="auto"/>
          </w:divBdr>
        </w:div>
      </w:divsChild>
    </w:div>
    <w:div w:id="132717730">
      <w:bodyDiv w:val="1"/>
      <w:marLeft w:val="0"/>
      <w:marRight w:val="0"/>
      <w:marTop w:val="0"/>
      <w:marBottom w:val="0"/>
      <w:divBdr>
        <w:top w:val="none" w:sz="0" w:space="0" w:color="auto"/>
        <w:left w:val="none" w:sz="0" w:space="0" w:color="auto"/>
        <w:bottom w:val="none" w:sz="0" w:space="0" w:color="auto"/>
        <w:right w:val="none" w:sz="0" w:space="0" w:color="auto"/>
      </w:divBdr>
      <w:divsChild>
        <w:div w:id="2034451327">
          <w:marLeft w:val="0"/>
          <w:marRight w:val="0"/>
          <w:marTop w:val="0"/>
          <w:marBottom w:val="150"/>
          <w:divBdr>
            <w:top w:val="none" w:sz="0" w:space="0" w:color="auto"/>
            <w:left w:val="none" w:sz="0" w:space="0" w:color="auto"/>
            <w:bottom w:val="none" w:sz="0" w:space="0" w:color="auto"/>
            <w:right w:val="none" w:sz="0" w:space="0" w:color="auto"/>
          </w:divBdr>
        </w:div>
        <w:div w:id="39861149">
          <w:marLeft w:val="0"/>
          <w:marRight w:val="0"/>
          <w:marTop w:val="0"/>
          <w:marBottom w:val="300"/>
          <w:divBdr>
            <w:top w:val="none" w:sz="0" w:space="0" w:color="auto"/>
            <w:left w:val="none" w:sz="0" w:space="0" w:color="auto"/>
            <w:bottom w:val="none" w:sz="0" w:space="0" w:color="auto"/>
            <w:right w:val="none" w:sz="0" w:space="0" w:color="auto"/>
          </w:divBdr>
        </w:div>
      </w:divsChild>
    </w:div>
    <w:div w:id="319893564">
      <w:bodyDiv w:val="1"/>
      <w:marLeft w:val="0"/>
      <w:marRight w:val="0"/>
      <w:marTop w:val="0"/>
      <w:marBottom w:val="0"/>
      <w:divBdr>
        <w:top w:val="none" w:sz="0" w:space="0" w:color="auto"/>
        <w:left w:val="none" w:sz="0" w:space="0" w:color="auto"/>
        <w:bottom w:val="none" w:sz="0" w:space="0" w:color="auto"/>
        <w:right w:val="none" w:sz="0" w:space="0" w:color="auto"/>
      </w:divBdr>
      <w:divsChild>
        <w:div w:id="1078986445">
          <w:marLeft w:val="0"/>
          <w:marRight w:val="0"/>
          <w:marTop w:val="0"/>
          <w:marBottom w:val="150"/>
          <w:divBdr>
            <w:top w:val="none" w:sz="0" w:space="0" w:color="auto"/>
            <w:left w:val="none" w:sz="0" w:space="0" w:color="auto"/>
            <w:bottom w:val="none" w:sz="0" w:space="0" w:color="auto"/>
            <w:right w:val="none" w:sz="0" w:space="0" w:color="auto"/>
          </w:divBdr>
        </w:div>
        <w:div w:id="202250679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1729</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2022-07-29T07:24:00Z</dcterms:created>
  <dcterms:modified xsi:type="dcterms:W3CDTF">2022-07-29T07:24:00Z</dcterms:modified>
</cp:coreProperties>
</file>