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DADE5" w14:textId="77777777" w:rsidR="001218CD" w:rsidRPr="001218CD" w:rsidRDefault="001218CD" w:rsidP="001218CD">
      <w:pPr>
        <w:jc w:val="center"/>
        <w:outlineLvl w:val="0"/>
        <w:rPr>
          <w:rFonts w:ascii="Times New Roman" w:eastAsia="Times New Roman" w:hAnsi="Times New Roman" w:cs="Times New Roman"/>
          <w:b/>
          <w:bCs/>
          <w:color w:val="000000" w:themeColor="text1"/>
          <w:kern w:val="36"/>
        </w:rPr>
      </w:pPr>
      <w:r w:rsidRPr="001218CD">
        <w:rPr>
          <w:rFonts w:ascii="Times New Roman" w:eastAsia="Times New Roman" w:hAnsi="Times New Roman" w:cs="Times New Roman"/>
          <w:b/>
          <w:bCs/>
          <w:color w:val="000000" w:themeColor="text1"/>
          <w:kern w:val="36"/>
        </w:rPr>
        <w:t>Nguyên tắc chung về xuất xứ hàng hóa của Thổ Nhĩ Kỳ</w:t>
      </w:r>
    </w:p>
    <w:p w14:paraId="38C51052" w14:textId="77777777" w:rsidR="001218CD" w:rsidRPr="001218CD" w:rsidRDefault="001218CD" w:rsidP="001218CD">
      <w:pPr>
        <w:jc w:val="both"/>
        <w:rPr>
          <w:rFonts w:ascii="Times New Roman" w:eastAsia="Times New Roman" w:hAnsi="Times New Roman" w:cs="Times New Roman"/>
          <w:b/>
          <w:bCs/>
          <w:color w:val="000000" w:themeColor="text1"/>
        </w:rPr>
      </w:pPr>
      <w:r w:rsidRPr="001218CD">
        <w:rPr>
          <w:rFonts w:ascii="Times New Roman" w:eastAsia="Times New Roman" w:hAnsi="Times New Roman" w:cs="Times New Roman"/>
          <w:b/>
          <w:bCs/>
          <w:color w:val="000000" w:themeColor="text1"/>
        </w:rPr>
        <w:t>Trong hoạt động buôn bán ngoại thương, việc các sản phẩm hàng hoá từ những nước khác nhau phụ thuộc vào các giao dịch khác nhau đã dẫn tới sự cần thiết để thiết lập các quy tắc về xuất xứ. Xuất xứ hàng hoá có ý nghĩa quan trọng đối với việc tạo nên dữ liệu thống kê.</w:t>
      </w:r>
    </w:p>
    <w:p w14:paraId="7B0FE35E"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Các quy tắc xuất xứ đang ngày càng trở lên quan trọng khi nền kinh tế thế giới được tạo lập nền tảng trên bối cảnh toàn cầu đang gia tăng và xúc tiến các hoạt động sản xuất dựa trên cơ sở lợi thế so sánh cao hơn. Ngày nay, chỉ có một khối lượng nhỏ hàng hoá được sản xuất tại một nước từ lúc bắt đầu đến khi kết thúc. Bởi vậy, việc thừa nhận xuất xứ của các sản phẩm đang trở lên phức tạp và dần dần có nhiều phiền phức do có vô số cách áp dụng các quy tắc xuất xứ.</w:t>
      </w:r>
    </w:p>
    <w:p w14:paraId="2B92753A"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Mặc dù vẫn chưa có một khái niệm quốc tế cụ thể nào được nhất trí nhưng  “xuất xứ” có thể được định nghĩa như là quốc tịch kinh tế của hàng hoá.</w:t>
      </w:r>
    </w:p>
    <w:p w14:paraId="2CA7F116"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Các quy tắc xuất xứ được bất cứ một nước nào áp dụng đối với các nước thứ 3 có thể dựa trên cơ sở các quy tắc xuất xứ được hưởng ưu đãi hoặc không được hưởng ưu đãi. Các quy tắc không được hưởng ưu đãi là những quy tắc xuất xứ dựa trên cơ sở nhằm áp đặt mức thuế đền bù đối với các nước thuộc WTO phù hợp với “điều khoản nước được ưu đãi nhất”. Nói cách khác, một mức thuế suất đền bù được đánh vào hàng hoá từ bất cứ nước thành viên WTO nào phù hợp các quy tắc đã được xác định mà không có sự phân biệt.</w:t>
      </w:r>
    </w:p>
    <w:p w14:paraId="41D8A99E"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Các quy tắc xuất xứ được hưởng ưu đãi, cũng giống như là việc bỏ đi “điều khoản nước được hưởng ưu đãi nhất” là những quy tắc mà cho phép áp dụng một cách đặc biệt đối với một nhóm nước, và cơ sở để thực hiện điều này thường được xác định trong những hiệp định cụ thể.         </w:t>
      </w:r>
    </w:p>
    <w:p w14:paraId="2FEFD6F6"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Thổ Nhĩ Kỳ áp dụng quy tắc xuất xứ ưu đãi và không ưu đãi. Từ năm 1996,  áp dụng quy tắc xuất xứ như các nước EU đối với nhập khẩu từ nước thứ 3. Quy tắc xuất xứ không ưu đãi của Thổ Nhĩ Kỳ quy định nước xuất xứ là nơi mà hàng hóa được hoàn toàn chế tạo ra hoặc trải qua một giai đoạn chuyển đổi về cơ bản, cuối cùng, hoặc một giai đoạn sản xuất quan trọng. Quy tắc xuất xứ ưu đãi, được quy định trong các hiệp định thương mại khác nhau, dựa trên cơ sở mức độ chế biến hoặc tiêu chí về giá trị tăng thêm, giá trị cộng gộp.</w:t>
      </w:r>
    </w:p>
    <w:p w14:paraId="1F165690"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Các quy định pháp lý cơ bản của nguyên tắc xuất xứ không ưu đãi được ghi trong Luật hải quan số 4458, Điều 17 đến 21. Theo quy định của liên minh hải quan, Thổ Nhĩ Kỳ đang áp dụng các quy định tương tự như quy đinh về xuất xứ của EU đối với các nước thứ ba kể từ ngày 1/1/1996.</w:t>
      </w:r>
    </w:p>
    <w:p w14:paraId="370398D2"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Các hiệp định ưu đãi thương mại của Thổ Nhĩ Kỳ đều quy định ưu đãi về nguyên tắc xuất xứ cơ bản dựa trên tiêu chuẩn chuyển đổi tương ứng. Thổ Nhĩ Kỳ đã là thành viên của Hệ thống tích hợp xuất xứ Lòng chảo Thái Bình Dương từ năm 1999. Việc này cho phép sử dụng bất kỳ dữ liệu của bất kỳ nước nào trong khu vực (EU, EFTA và Thổ Nhĩ Kỳ) để có thể được hưởng ưu đãi về xuất xứ. Hệ thống này cũng được mở rộng áp dụng cho Đảo Faroe và các nước thuộc vùng Địa Trung Hải tham gia vào quan hệ đối tác châu Âu – Địa Trung Hải thông quan Tuyên bố Barcelona năm 2004. Thổ Nhĩ Kỳ cũng áp dụng việc đánh giá nội bộ về việc sử dụng Quy định GSP mới của EU, trong đó có các quy định sửa đổi về nguyên tắc xuất xứ.</w:t>
      </w:r>
    </w:p>
    <w:p w14:paraId="200A8735"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Theo Luật Hải quan số 4458, các công ty hoạt động trong lĩnh vực sản xuất kinh doanh có thể yêu cầu đánh giá trước để xác định thuế suất xuất khẩu hoặc nhập khẩu, tính toán việc hoàn thuế trong khuôn khổ quy định của chính sách nông  nghiệp Thổ Nhĩ Kỳ, hoặc có thể sử dụng các chứng thư cung cấp các thông tin về thuế và xuất xứ để khai báo thông quan.</w:t>
      </w:r>
    </w:p>
    <w:p w14:paraId="4EF1CAB4"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w:t>
      </w:r>
    </w:p>
    <w:p w14:paraId="2CFA3C0D"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b/>
          <w:bCs/>
          <w:color w:val="000000" w:themeColor="text1"/>
        </w:rPr>
        <w:t>Bảng tham khảo: Quy tắc xuất xứ ưu đãi năm 2007 của Thổ Nhĩ Kỳ</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5"/>
        <w:gridCol w:w="4770"/>
      </w:tblGrid>
      <w:tr w:rsidR="001218CD" w:rsidRPr="001218CD" w14:paraId="0067E035" w14:textId="77777777" w:rsidTr="001218CD">
        <w:trPr>
          <w:tblCellSpacing w:w="0" w:type="dxa"/>
          <w:jc w:val="center"/>
        </w:trPr>
        <w:tc>
          <w:tcPr>
            <w:tcW w:w="4065" w:type="dxa"/>
            <w:tcBorders>
              <w:top w:val="outset" w:sz="6" w:space="0" w:color="auto"/>
              <w:left w:val="outset" w:sz="6" w:space="0" w:color="auto"/>
              <w:bottom w:val="outset" w:sz="6" w:space="0" w:color="auto"/>
              <w:right w:val="outset" w:sz="6" w:space="0" w:color="auto"/>
            </w:tcBorders>
            <w:vAlign w:val="center"/>
            <w:hideMark/>
          </w:tcPr>
          <w:p w14:paraId="16DE7E57"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b/>
                <w:bCs/>
                <w:color w:val="000000" w:themeColor="text1"/>
              </w:rPr>
              <w:t>Hiệp định/Đối tác</w:t>
            </w:r>
          </w:p>
        </w:tc>
        <w:tc>
          <w:tcPr>
            <w:tcW w:w="4770" w:type="dxa"/>
            <w:tcBorders>
              <w:top w:val="outset" w:sz="6" w:space="0" w:color="auto"/>
              <w:left w:val="outset" w:sz="6" w:space="0" w:color="auto"/>
              <w:bottom w:val="outset" w:sz="6" w:space="0" w:color="auto"/>
              <w:right w:val="outset" w:sz="6" w:space="0" w:color="auto"/>
            </w:tcBorders>
            <w:vAlign w:val="center"/>
            <w:hideMark/>
          </w:tcPr>
          <w:p w14:paraId="70A18B3F"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b/>
                <w:bCs/>
                <w:color w:val="000000" w:themeColor="text1"/>
              </w:rPr>
              <w:t>Quytắc xuất xứ</w:t>
            </w:r>
          </w:p>
        </w:tc>
      </w:tr>
      <w:tr w:rsidR="001218CD" w:rsidRPr="001218CD" w14:paraId="056A6FA0" w14:textId="77777777" w:rsidTr="001218CD">
        <w:trPr>
          <w:tblCellSpacing w:w="0" w:type="dxa"/>
          <w:jc w:val="center"/>
        </w:trPr>
        <w:tc>
          <w:tcPr>
            <w:tcW w:w="4065" w:type="dxa"/>
            <w:tcBorders>
              <w:top w:val="outset" w:sz="6" w:space="0" w:color="auto"/>
              <w:left w:val="outset" w:sz="6" w:space="0" w:color="auto"/>
              <w:bottom w:val="outset" w:sz="6" w:space="0" w:color="auto"/>
              <w:right w:val="outset" w:sz="6" w:space="0" w:color="auto"/>
            </w:tcBorders>
            <w:vAlign w:val="center"/>
            <w:hideMark/>
          </w:tcPr>
          <w:p w14:paraId="2C110F85"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lastRenderedPageBreak/>
              <w:t>Liên minh quan thuế với EU</w:t>
            </w:r>
          </w:p>
          <w:p w14:paraId="258D38FC"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w:t>
            </w:r>
          </w:p>
        </w:tc>
        <w:tc>
          <w:tcPr>
            <w:tcW w:w="4770" w:type="dxa"/>
            <w:tcBorders>
              <w:top w:val="outset" w:sz="6" w:space="0" w:color="auto"/>
              <w:left w:val="outset" w:sz="6" w:space="0" w:color="auto"/>
              <w:bottom w:val="outset" w:sz="6" w:space="0" w:color="auto"/>
              <w:right w:val="outset" w:sz="6" w:space="0" w:color="auto"/>
            </w:tcBorders>
            <w:vAlign w:val="center"/>
            <w:hideMark/>
          </w:tcPr>
          <w:p w14:paraId="35CFF157"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Sản phẩm được chế tạo toàn bộ hoặc được biến đổi về cơ bản</w:t>
            </w:r>
            <w:r w:rsidRPr="001218CD">
              <w:rPr>
                <w:rFonts w:ascii="Times New Roman" w:eastAsia="Times New Roman" w:hAnsi="Times New Roman" w:cs="Times New Roman"/>
                <w:color w:val="000000" w:themeColor="text1"/>
                <w:vertAlign w:val="superscript"/>
              </w:rPr>
              <w:t>a</w:t>
            </w:r>
          </w:p>
        </w:tc>
      </w:tr>
      <w:tr w:rsidR="001218CD" w:rsidRPr="001218CD" w14:paraId="7AC90B98" w14:textId="77777777" w:rsidTr="001218CD">
        <w:trPr>
          <w:tblCellSpacing w:w="0" w:type="dxa"/>
          <w:jc w:val="center"/>
        </w:trPr>
        <w:tc>
          <w:tcPr>
            <w:tcW w:w="4065" w:type="dxa"/>
            <w:tcBorders>
              <w:top w:val="outset" w:sz="6" w:space="0" w:color="auto"/>
              <w:left w:val="outset" w:sz="6" w:space="0" w:color="auto"/>
              <w:bottom w:val="outset" w:sz="6" w:space="0" w:color="auto"/>
              <w:right w:val="outset" w:sz="6" w:space="0" w:color="auto"/>
            </w:tcBorders>
            <w:vAlign w:val="center"/>
            <w:hideMark/>
          </w:tcPr>
          <w:p w14:paraId="5F48F882"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FTA với các nước EFTA</w:t>
            </w:r>
          </w:p>
        </w:tc>
        <w:tc>
          <w:tcPr>
            <w:tcW w:w="4770" w:type="dxa"/>
            <w:tcBorders>
              <w:top w:val="outset" w:sz="6" w:space="0" w:color="auto"/>
              <w:left w:val="outset" w:sz="6" w:space="0" w:color="auto"/>
              <w:bottom w:val="outset" w:sz="6" w:space="0" w:color="auto"/>
              <w:right w:val="outset" w:sz="6" w:space="0" w:color="auto"/>
            </w:tcBorders>
            <w:vAlign w:val="center"/>
            <w:hideMark/>
          </w:tcPr>
          <w:p w14:paraId="0D727396"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Sản phẩm được chế tạo toàn bộ hoặc được biến đổi về cơ bản</w:t>
            </w:r>
            <w:r w:rsidRPr="001218CD">
              <w:rPr>
                <w:rFonts w:ascii="Times New Roman" w:eastAsia="Times New Roman" w:hAnsi="Times New Roman" w:cs="Times New Roman"/>
                <w:color w:val="000000" w:themeColor="text1"/>
                <w:vertAlign w:val="superscript"/>
              </w:rPr>
              <w:t>a</w:t>
            </w:r>
          </w:p>
        </w:tc>
      </w:tr>
      <w:tr w:rsidR="001218CD" w:rsidRPr="001218CD" w14:paraId="27EA61AE" w14:textId="77777777" w:rsidTr="001218CD">
        <w:trPr>
          <w:tblCellSpacing w:w="0" w:type="dxa"/>
          <w:jc w:val="center"/>
        </w:trPr>
        <w:tc>
          <w:tcPr>
            <w:tcW w:w="4065" w:type="dxa"/>
            <w:tcBorders>
              <w:top w:val="outset" w:sz="6" w:space="0" w:color="auto"/>
              <w:left w:val="outset" w:sz="6" w:space="0" w:color="auto"/>
              <w:bottom w:val="outset" w:sz="6" w:space="0" w:color="auto"/>
              <w:right w:val="outset" w:sz="6" w:space="0" w:color="auto"/>
            </w:tcBorders>
            <w:vAlign w:val="center"/>
            <w:hideMark/>
          </w:tcPr>
          <w:p w14:paraId="0DCEB8B6"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Tổ chức hợp tác kinh tế-ECO (Iran, Thổ Nhĩ Kỳ, Pakistan)</w:t>
            </w:r>
          </w:p>
        </w:tc>
        <w:tc>
          <w:tcPr>
            <w:tcW w:w="4770" w:type="dxa"/>
            <w:tcBorders>
              <w:top w:val="outset" w:sz="6" w:space="0" w:color="auto"/>
              <w:left w:val="outset" w:sz="6" w:space="0" w:color="auto"/>
              <w:bottom w:val="outset" w:sz="6" w:space="0" w:color="auto"/>
              <w:right w:val="outset" w:sz="6" w:space="0" w:color="auto"/>
            </w:tcBorders>
            <w:vAlign w:val="center"/>
            <w:hideMark/>
          </w:tcPr>
          <w:p w14:paraId="4E90E693"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Tối thiểu 50% giá FOB</w:t>
            </w:r>
            <w:r w:rsidRPr="001218CD">
              <w:rPr>
                <w:rFonts w:ascii="Times New Roman" w:eastAsia="Times New Roman" w:hAnsi="Times New Roman" w:cs="Times New Roman"/>
                <w:color w:val="000000" w:themeColor="text1"/>
                <w:vertAlign w:val="superscript"/>
              </w:rPr>
              <w:t>b</w:t>
            </w:r>
          </w:p>
        </w:tc>
      </w:tr>
      <w:tr w:rsidR="001218CD" w:rsidRPr="001218CD" w14:paraId="07CF231D" w14:textId="77777777" w:rsidTr="001218CD">
        <w:trPr>
          <w:tblCellSpacing w:w="0" w:type="dxa"/>
          <w:jc w:val="center"/>
        </w:trPr>
        <w:tc>
          <w:tcPr>
            <w:tcW w:w="4065" w:type="dxa"/>
            <w:tcBorders>
              <w:top w:val="outset" w:sz="6" w:space="0" w:color="auto"/>
              <w:left w:val="outset" w:sz="6" w:space="0" w:color="auto"/>
              <w:bottom w:val="outset" w:sz="6" w:space="0" w:color="auto"/>
              <w:right w:val="outset" w:sz="6" w:space="0" w:color="auto"/>
            </w:tcBorders>
            <w:vAlign w:val="center"/>
            <w:hideMark/>
          </w:tcPr>
          <w:p w14:paraId="65B2269A"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Ai cập; Israel; Ma-rốc; Syria; Tuy-ni-dy</w:t>
            </w:r>
          </w:p>
        </w:tc>
        <w:tc>
          <w:tcPr>
            <w:tcW w:w="4770" w:type="dxa"/>
            <w:tcBorders>
              <w:top w:val="outset" w:sz="6" w:space="0" w:color="auto"/>
              <w:left w:val="outset" w:sz="6" w:space="0" w:color="auto"/>
              <w:bottom w:val="outset" w:sz="6" w:space="0" w:color="auto"/>
              <w:right w:val="outset" w:sz="6" w:space="0" w:color="auto"/>
            </w:tcBorders>
            <w:vAlign w:val="center"/>
            <w:hideMark/>
          </w:tcPr>
          <w:p w14:paraId="7E7FCC57"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Nghị định thư về quy tắc xuất xứ dựa trên cơ sở nghị định thư về xuất xứ ký giữa EU và Thổ Nhĩ Kỳ: sản phẩm được chế tạo toàn bộ hoặc được biến đổi về cơ bản được hưởng ưu đãi thuế</w:t>
            </w:r>
            <w:r w:rsidRPr="001218CD">
              <w:rPr>
                <w:rFonts w:ascii="Times New Roman" w:eastAsia="Times New Roman" w:hAnsi="Times New Roman" w:cs="Times New Roman"/>
                <w:color w:val="000000" w:themeColor="text1"/>
                <w:vertAlign w:val="superscript"/>
              </w:rPr>
              <w:t>a</w:t>
            </w:r>
          </w:p>
        </w:tc>
      </w:tr>
      <w:tr w:rsidR="001218CD" w:rsidRPr="001218CD" w14:paraId="27EAD33C" w14:textId="77777777" w:rsidTr="001218CD">
        <w:trPr>
          <w:tblCellSpacing w:w="0" w:type="dxa"/>
          <w:jc w:val="center"/>
        </w:trPr>
        <w:tc>
          <w:tcPr>
            <w:tcW w:w="4065" w:type="dxa"/>
            <w:tcBorders>
              <w:top w:val="outset" w:sz="6" w:space="0" w:color="auto"/>
              <w:left w:val="outset" w:sz="6" w:space="0" w:color="auto"/>
              <w:bottom w:val="outset" w:sz="6" w:space="0" w:color="auto"/>
              <w:right w:val="outset" w:sz="6" w:space="0" w:color="auto"/>
            </w:tcBorders>
            <w:vAlign w:val="center"/>
            <w:hideMark/>
          </w:tcPr>
          <w:p w14:paraId="3082CC9A"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An-ba-ni</w:t>
            </w:r>
            <w:r w:rsidRPr="001218CD">
              <w:rPr>
                <w:rFonts w:ascii="Times New Roman" w:eastAsia="Times New Roman" w:hAnsi="Times New Roman" w:cs="Times New Roman"/>
                <w:color w:val="000000" w:themeColor="text1"/>
                <w:vertAlign w:val="superscript"/>
              </w:rPr>
              <w:t>c d e</w:t>
            </w:r>
            <w:r w:rsidRPr="001218CD">
              <w:rPr>
                <w:rFonts w:ascii="Times New Roman" w:eastAsia="Times New Roman" w:hAnsi="Times New Roman" w:cs="Times New Roman"/>
                <w:color w:val="000000" w:themeColor="text1"/>
              </w:rPr>
              <w:t>; Bosnia-Herzegovina</w:t>
            </w:r>
            <w:r w:rsidRPr="001218CD">
              <w:rPr>
                <w:rFonts w:ascii="Times New Roman" w:eastAsia="Times New Roman" w:hAnsi="Times New Roman" w:cs="Times New Roman"/>
                <w:color w:val="000000" w:themeColor="text1"/>
                <w:vertAlign w:val="superscript"/>
              </w:rPr>
              <w:t>d e</w:t>
            </w:r>
            <w:r w:rsidRPr="001218CD">
              <w:rPr>
                <w:rFonts w:ascii="Times New Roman" w:eastAsia="Times New Roman" w:hAnsi="Times New Roman" w:cs="Times New Roman"/>
                <w:color w:val="000000" w:themeColor="text1"/>
              </w:rPr>
              <w:t>; Croatia</w:t>
            </w:r>
            <w:r w:rsidRPr="001218CD">
              <w:rPr>
                <w:rFonts w:ascii="Times New Roman" w:eastAsia="Times New Roman" w:hAnsi="Times New Roman" w:cs="Times New Roman"/>
                <w:color w:val="000000" w:themeColor="text1"/>
                <w:vertAlign w:val="superscript"/>
              </w:rPr>
              <w:t>d e</w:t>
            </w:r>
            <w:r w:rsidRPr="001218CD">
              <w:rPr>
                <w:rFonts w:ascii="Times New Roman" w:eastAsia="Times New Roman" w:hAnsi="Times New Roman" w:cs="Times New Roman"/>
                <w:color w:val="000000" w:themeColor="text1"/>
              </w:rPr>
              <w:t>; Macedonia (FYR)</w:t>
            </w:r>
            <w:r w:rsidRPr="001218CD">
              <w:rPr>
                <w:rFonts w:ascii="Times New Roman" w:eastAsia="Times New Roman" w:hAnsi="Times New Roman" w:cs="Times New Roman"/>
                <w:color w:val="000000" w:themeColor="text1"/>
                <w:vertAlign w:val="superscript"/>
              </w:rPr>
              <w:t>d e</w:t>
            </w:r>
            <w:r w:rsidRPr="001218CD">
              <w:rPr>
                <w:rFonts w:ascii="Times New Roman" w:eastAsia="Times New Roman" w:hAnsi="Times New Roman" w:cs="Times New Roman"/>
                <w:color w:val="000000" w:themeColor="text1"/>
              </w:rPr>
              <w:t>;Pa-le-xtin</w:t>
            </w:r>
            <w:r w:rsidRPr="001218CD">
              <w:rPr>
                <w:rFonts w:ascii="Times New Roman" w:eastAsia="Times New Roman" w:hAnsi="Times New Roman" w:cs="Times New Roman"/>
                <w:color w:val="000000" w:themeColor="text1"/>
                <w:vertAlign w:val="superscript"/>
              </w:rPr>
              <w:t>d</w:t>
            </w:r>
          </w:p>
        </w:tc>
        <w:tc>
          <w:tcPr>
            <w:tcW w:w="4770" w:type="dxa"/>
            <w:tcBorders>
              <w:top w:val="outset" w:sz="6" w:space="0" w:color="auto"/>
              <w:left w:val="outset" w:sz="6" w:space="0" w:color="auto"/>
              <w:bottom w:val="outset" w:sz="6" w:space="0" w:color="auto"/>
              <w:right w:val="outset" w:sz="6" w:space="0" w:color="auto"/>
            </w:tcBorders>
            <w:vAlign w:val="center"/>
            <w:hideMark/>
          </w:tcPr>
          <w:p w14:paraId="24F00B36" w14:textId="77777777" w:rsidR="001218CD" w:rsidRPr="001218CD" w:rsidRDefault="001218CD" w:rsidP="001218CD">
            <w:pPr>
              <w:ind w:left="57"/>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Nghị định thư về quy tắc xuất xứ dựa trên cơ sở Phương thức "Pan-Euro-Mediterranean Model" ký giữa EC và : sản phẩm được chế tạo toàn bộ hoặc được biến đổi về cơ bản được hưởng ưu đãi thuế</w:t>
            </w:r>
            <w:r w:rsidRPr="001218CD">
              <w:rPr>
                <w:rFonts w:ascii="Times New Roman" w:eastAsia="Times New Roman" w:hAnsi="Times New Roman" w:cs="Times New Roman"/>
                <w:color w:val="000000" w:themeColor="text1"/>
                <w:vertAlign w:val="superscript"/>
              </w:rPr>
              <w:t>a</w:t>
            </w:r>
          </w:p>
        </w:tc>
      </w:tr>
    </w:tbl>
    <w:p w14:paraId="76B67C9C" w14:textId="77777777" w:rsidR="001218CD" w:rsidRPr="001218CD" w:rsidRDefault="001218CD" w:rsidP="001218CD">
      <w:pPr>
        <w:ind w:left="720"/>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(a)      Tiêu chí về sự biến đổi về cơ bản (sufficient transformation) được xác định chủ yếu trên cơ sở đặc điểm quy cách sản phẩm (product-specific), và bao gồm việc áp dụng một số yêu cầu về đầu vào hoặc giá trị tăng thêm.</w:t>
      </w:r>
    </w:p>
    <w:p w14:paraId="51D76861" w14:textId="77777777" w:rsidR="001218CD" w:rsidRPr="001218CD" w:rsidRDefault="001218CD" w:rsidP="001218CD">
      <w:pPr>
        <w:ind w:left="720"/>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(b)     Hàm lượng địa phương tối thiểu ở nước xuất khẩu được xác định là tỷ lệ phần trăm của chi phí tại nhà máy của sản phẩm nhập khẩu.=&gt;?</w:t>
      </w:r>
    </w:p>
    <w:p w14:paraId="4FCC26E1" w14:textId="77777777" w:rsidR="001218CD" w:rsidRPr="001218CD" w:rsidRDefault="001218CD" w:rsidP="001218CD">
      <w:pPr>
        <w:ind w:left="720"/>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(c)      Hiệp định thương mại song phương có hiệu lực từ năm 2007.</w:t>
      </w:r>
    </w:p>
    <w:p w14:paraId="65FC772D" w14:textId="77777777" w:rsidR="001218CD" w:rsidRPr="001218CD" w:rsidRDefault="001218CD" w:rsidP="001218CD">
      <w:pPr>
        <w:ind w:left="720"/>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(d)     Nghị định thư về quy tắc xuất xứ dựa trên cơ sở cộng gộp xuất xứ song phương.</w:t>
      </w:r>
    </w:p>
    <w:p w14:paraId="2174F9B4" w14:textId="77777777" w:rsidR="001218CD" w:rsidRPr="001218CD" w:rsidRDefault="001218CD" w:rsidP="001218CD">
      <w:pPr>
        <w:ind w:left="720"/>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(e)      An-ba-ni, Bosnia-Herzegovina, Croatia, and Macedonia (FYR) chưa là thành viên của Hệ thống cộng gộp ‘Pan-Euro-Mediterranean Cumulation System’.</w:t>
      </w:r>
    </w:p>
    <w:p w14:paraId="1F9C27A3"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i/>
          <w:iCs/>
          <w:color w:val="000000" w:themeColor="text1"/>
        </w:rPr>
        <w:t>Nguồn: WTO</w:t>
      </w:r>
    </w:p>
    <w:p w14:paraId="44A9695D"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i/>
          <w:iCs/>
          <w:color w:val="000000" w:themeColor="text1"/>
        </w:rPr>
        <w:t>Trần Ngọc Hà</w:t>
      </w:r>
    </w:p>
    <w:p w14:paraId="323BE3C3"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w:t>
      </w:r>
    </w:p>
    <w:p w14:paraId="3E9D748D"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w:t>
      </w:r>
      <w:r w:rsidRPr="001218CD">
        <w:rPr>
          <w:rFonts w:ascii="Times New Roman" w:eastAsia="Times New Roman" w:hAnsi="Times New Roman" w:cs="Times New Roman"/>
          <w:color w:val="000000" w:themeColor="text1"/>
        </w:rPr>
        <w:t>o</w:t>
      </w:r>
      <w:r w:rsidRPr="001218CD">
        <w:rPr>
          <w:rFonts w:ascii="Times New Roman" w:eastAsia="Times New Roman" w:hAnsi="Times New Roman" w:cs="Times New Roman"/>
          <w:color w:val="000000" w:themeColor="text1"/>
        </w:rPr>
        <w:t>;</w:t>
      </w:r>
      <w:r w:rsidRPr="001218CD">
        <w:rPr>
          <w:rFonts w:ascii="Times New Roman" w:eastAsia="Times New Roman" w:hAnsi="Times New Roman" w:cs="Times New Roman"/>
          <w:color w:val="000000" w:themeColor="text1"/>
        </w:rPr>
        <w:t>s</w:t>
      </w:r>
      <w:r w:rsidRPr="001218CD">
        <w:rPr>
          <w:rFonts w:ascii="Times New Roman" w:eastAsia="Times New Roman" w:hAnsi="Times New Roman" w:cs="Times New Roman"/>
          <w:color w:val="000000" w:themeColor="text1"/>
        </w:rPr>
        <w:t>xn�</w:t>
      </w:r>
      <w:r w:rsidRPr="001218CD">
        <w:rPr>
          <w:rFonts w:ascii="Times New Roman" w:eastAsia="Times New Roman" w:hAnsi="Times New Roman" w:cs="Times New Roman"/>
          <w:color w:val="000000" w:themeColor="text1"/>
        </w:rPr>
        <w:t>8�F nguage: PT-BR'&gt;          (a)Các sản phẩm có nguồn gốc từ nước hưởng lợi sẽ được hưởng lợi ích từ GSP khi nhập khẩu vào Thổ Nhĩ Kỳ sau khi xuất trình hoặc là Giấy chứng nhận xuất xứ Form A hoặc Khai báo hoá đơn. Cụ thể:</w:t>
      </w:r>
    </w:p>
    <w:p w14:paraId="398D0E5A"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w:t>
      </w:r>
    </w:p>
    <w:p w14:paraId="736C7752"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 Giấy chứng nhận xuất xứ Form A</w:t>
      </w:r>
    </w:p>
    <w:p w14:paraId="232A82D2"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Sản phẩm có nguồn gốc theo ý nghĩa của Quyết định sẽ được hưởng lợi từ chế độ ưu đãi khi nhập khẩu vào Thổ Nhĩ Kỳ sau khi xuất trình giấy chứng nhận xuất xứ Form A do các cơ quan hải quan hoặc các cơ quan khác có thẩm quyền thuộc chính phủ của nước hưởng lợi cấp.</w:t>
      </w:r>
    </w:p>
    <w:p w14:paraId="30E979D9"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 Khai báo hoá đơn</w:t>
      </w:r>
    </w:p>
    <w:p w14:paraId="07F43F38"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Giấy khai báo hoá đơn có thể được lập ra nếu sản phẩm có liên quan có thể được xem là có nguồn gốc từ Thổ Nhĩ Kỳ hoặc từ một nước hưởng lợi và đáp ứng các yêu cầu khác của Quyết định. Giấy khai báo hoá đơn có thể được lập bởi một người xuất khẩu của Thổ Nhĩ Kỳ đã được phê duyệt hoặc bởi bất cứ một người xuất khẩu nào đối với lô hàng bao gồm một hoặc nhiều kiện chứa đựng các sản phẩm có nguồn gốc mà tổng trị giá của nó không vượt quá 6.000 Euro.</w:t>
      </w:r>
    </w:p>
    <w:p w14:paraId="402A0276"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 Giấy chứng nhận xuất xứ Form A được cấp lùi ngày và sao làm 2 bản</w:t>
      </w:r>
    </w:p>
    <w:p w14:paraId="26AD4EC6"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Một giấy chứng nhận xuất xứ Form A có thể được cấp một cách ngoại lệ sau khi đã xuất khẩu sản phẩm trong những trường hợp sau đây:</w:t>
      </w:r>
    </w:p>
    <w:p w14:paraId="61B3B69A"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 Nó không được cấp vào thời điểm xuất khẩu do các sai sót và sự nhầm lẫn không có chủ tâm hoặc các tình huống đặc biệt.</w:t>
      </w:r>
    </w:p>
    <w:p w14:paraId="46712662"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lastRenderedPageBreak/>
        <w:t>          + Chứng minh được cho các cơ quan có thẩm quyền của chính phủ rằng giấy chứng nhận xuất xứ Form A đã được cấp nhưng không được chấp nhận tại lúc nhập khẩu vì lý do kỹ thuật.</w:t>
      </w:r>
    </w:p>
    <w:p w14:paraId="7DDA61C7"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Trong trường hợp giấy chứng nhận xuất xứ Form A bị mất trộm, bị rơi hoặc bị hỏng, người xuất khẩu có thể xin các cơ quan có thẩm quyền của chính phủ đã phát hành nó một bản thứ 2 trên cơ sở các chứng từ xuất khẩu mà người xuất khẩu còn giữ.</w:t>
      </w:r>
    </w:p>
    <w:p w14:paraId="3DE609E0"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(b)Khi xuất khẩu từ Thổ Nhĩ Kỳ đến nước hưởng lợi để nhằm được hưởng lợi từ cách tính tích luỹ song phương đối với hàng hoá có nguồn gốc từ Thổ Nhĩ Kỳ và đáp ứng các yêu cầu khác của Quyết định, sự minh bạch về vị thế nguồn gốc của các sản phẩm sẽ phải nộp bằng một giấy chứng nhận di chuyển hoặc giấy khai báo hoá đơn.</w:t>
      </w:r>
    </w:p>
    <w:p w14:paraId="3D15B682"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Các thủ tục và nguyên tắc sử dụng Giấy chứng nhận di chuyển đã được cấp và khai báo hoá đơn được nêu trong “Quy chế về Giấy chứng nhận di chuyển và Giấy khai báo hoá đơn sẽ được cấp khi xuất khẩu theo GSP của Thổ Nhĩ Kỳ”, quy chế này được công bố trên Công báo số 24704 ngày 23/4/2002.</w:t>
      </w:r>
    </w:p>
    <w:p w14:paraId="050774CB"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 Các sản phẩm phi mậu dịch</w:t>
      </w:r>
    </w:p>
    <w:p w14:paraId="0A1841E0"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Các sản phẩm được gửi dạng những gói nhỏ từ những cá nhân không vượt quá giá trị 500 Euro và những thứ tạo thành một phần của hành lý cá nhân của khách du lịch với tổng trị giá không vượt quá 1.200 Euro sẽ được thừa nhận là có nguồn gốc mà không bị yêu cầu xuất trình bằng chứng nguồn gốc.</w:t>
      </w:r>
    </w:p>
    <w:p w14:paraId="5FA3F5B5"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 Hiệu lực của bằng chứng nguồn gốc</w:t>
      </w:r>
    </w:p>
    <w:p w14:paraId="3015F799"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Một bằng chứng nguồn gốc sẽ có hiệu lực trong 10 tháng kể từ ngày phát hành ở nước xuất khẩu và sẽ được xuất trình trong thời hạn nói trên cho các cơ quan hải quan của nước nhập khẩu.</w:t>
      </w:r>
    </w:p>
    <w:p w14:paraId="55C87010"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 Việc xác nhận sau</w:t>
      </w:r>
    </w:p>
    <w:p w14:paraId="057FFA98"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Các thông tin được cung cấp trên các giấy chứng nhận xuất xứ Form A và các giấy khai báo hoá đơn có thể được xác nhận ngẫu nhiên hoặc bất cứ lúc nào các cơ quan hải quan của Thổ Nhĩ Kỳ có sự nghi ngờ hợp lý đối với tính xác thực của chứng từ hoặc độ chính xác của các thông tin liên quan đến xuất xứ hàng hoá.</w:t>
      </w:r>
    </w:p>
    <w:p w14:paraId="19BD5876"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Sau khi thực hiện xong đơn xác nhận phải thông báo cho phía Thổ Nhĩ Kỳ trong thời hạn tối đa là 6 tháng. Nếu trong trường hợp có nghi ngờ hợp lý mà không có sự trả lời trong thời hạn 6 tháng hoặc nếu việc trả lời không đáp ứng những thông tin phù hợp để xác định tính xác thực của chứng từ được yêu cầu hoặc xuất xứ thực tế của sản phẩm, thì một yêu cầu về thông tin lần thứ 2 sẽ được gửi tới các cơ quan có thẩm quyền. Sau lần thứ 2 này, nếu kết quả của việc xác nhận vẫn không đáp ứng được cơ quan yêu cầu trong thời hạn 4 tháng hoặc những kết quả này không cho phép xác định được tính xác thực của chứng từ được yêu cầu hoặc nguồn gốc xuất xứ thực tế của sản phẩm thì cơ quan yêu cầu ngoại trừ trong các trường hợp loại trừ sẽ từ chối cho phép được hưởng chế độ ưu đãi.</w:t>
      </w:r>
    </w:p>
    <w:p w14:paraId="0FF76609"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 Về hiệu lực thực hiện</w:t>
      </w:r>
    </w:p>
    <w:p w14:paraId="21121F78"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Quyết định số 2001/3485 nói trên có hiệu lực thi hành kể từ 1/1/2002.</w:t>
      </w:r>
    </w:p>
    <w:p w14:paraId="4F4DFAE9"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Ngoài những quy định nêu trên, Thổ Nhĩ Kỳ còn có thêm một số quy định liên quan đến xuất xứ của hàng hoá từ Điều 17-22 của Luật Hải quan số 4458./.</w:t>
      </w:r>
    </w:p>
    <w:p w14:paraId="7D9F9EF2"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color w:val="000000" w:themeColor="text1"/>
        </w:rPr>
        <w:t> </w:t>
      </w:r>
    </w:p>
    <w:p w14:paraId="6FA1B61A" w14:textId="77777777" w:rsidR="001218CD" w:rsidRPr="001218CD" w:rsidRDefault="001218CD" w:rsidP="001218CD">
      <w:pPr>
        <w:jc w:val="both"/>
        <w:rPr>
          <w:rFonts w:ascii="Times New Roman" w:eastAsia="Times New Roman" w:hAnsi="Times New Roman" w:cs="Times New Roman"/>
          <w:color w:val="000000" w:themeColor="text1"/>
        </w:rPr>
      </w:pPr>
      <w:r w:rsidRPr="001218CD">
        <w:rPr>
          <w:rFonts w:ascii="Times New Roman" w:eastAsia="Times New Roman" w:hAnsi="Times New Roman" w:cs="Times New Roman"/>
          <w:i/>
          <w:iCs/>
          <w:color w:val="000000" w:themeColor="text1"/>
        </w:rPr>
        <w:t>Trần Ngọc Hà</w:t>
      </w:r>
    </w:p>
    <w:p w14:paraId="29D3FDF4" w14:textId="77777777" w:rsidR="001218CD" w:rsidRPr="001218CD" w:rsidRDefault="001218CD" w:rsidP="001218CD">
      <w:pPr>
        <w:jc w:val="both"/>
        <w:rPr>
          <w:rFonts w:ascii="Times New Roman" w:eastAsia="Times New Roman" w:hAnsi="Times New Roman" w:cs="Times New Roman"/>
          <w:color w:val="000000" w:themeColor="text1"/>
        </w:rPr>
      </w:pPr>
    </w:p>
    <w:p w14:paraId="13776E03" w14:textId="77777777" w:rsidR="00DD12EB" w:rsidRPr="001218CD" w:rsidRDefault="00DD12EB" w:rsidP="001218CD">
      <w:pPr>
        <w:jc w:val="both"/>
        <w:rPr>
          <w:rFonts w:ascii="Times New Roman" w:hAnsi="Times New Roman" w:cs="Times New Roman"/>
          <w:color w:val="000000" w:themeColor="text1"/>
        </w:rPr>
      </w:pPr>
    </w:p>
    <w:sectPr w:rsidR="00DD12EB" w:rsidRPr="001218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8CD"/>
    <w:rsid w:val="001218CD"/>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6BE17D51"/>
  <w15:chartTrackingRefBased/>
  <w15:docId w15:val="{324044C9-A826-0E48-888E-AA073D091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218C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8C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218C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218CD"/>
    <w:rPr>
      <w:b/>
      <w:bCs/>
    </w:rPr>
  </w:style>
  <w:style w:type="character" w:styleId="Emphasis">
    <w:name w:val="Emphasis"/>
    <w:basedOn w:val="DefaultParagraphFont"/>
    <w:uiPriority w:val="20"/>
    <w:qFormat/>
    <w:rsid w:val="001218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874641">
      <w:bodyDiv w:val="1"/>
      <w:marLeft w:val="0"/>
      <w:marRight w:val="0"/>
      <w:marTop w:val="0"/>
      <w:marBottom w:val="0"/>
      <w:divBdr>
        <w:top w:val="none" w:sz="0" w:space="0" w:color="auto"/>
        <w:left w:val="none" w:sz="0" w:space="0" w:color="auto"/>
        <w:bottom w:val="none" w:sz="0" w:space="0" w:color="auto"/>
        <w:right w:val="none" w:sz="0" w:space="0" w:color="auto"/>
      </w:divBdr>
      <w:divsChild>
        <w:div w:id="451094141">
          <w:marLeft w:val="0"/>
          <w:marRight w:val="0"/>
          <w:marTop w:val="0"/>
          <w:marBottom w:val="225"/>
          <w:divBdr>
            <w:top w:val="none" w:sz="0" w:space="0" w:color="auto"/>
            <w:left w:val="none" w:sz="0" w:space="0" w:color="auto"/>
            <w:bottom w:val="none" w:sz="0" w:space="0" w:color="auto"/>
            <w:right w:val="none" w:sz="0" w:space="0" w:color="auto"/>
          </w:divBdr>
        </w:div>
        <w:div w:id="185481317">
          <w:marLeft w:val="0"/>
          <w:marRight w:val="0"/>
          <w:marTop w:val="0"/>
          <w:marBottom w:val="150"/>
          <w:divBdr>
            <w:top w:val="none" w:sz="0" w:space="0" w:color="auto"/>
            <w:left w:val="none" w:sz="0" w:space="0" w:color="auto"/>
            <w:bottom w:val="none" w:sz="0" w:space="0" w:color="auto"/>
            <w:right w:val="none" w:sz="0" w:space="0" w:color="auto"/>
          </w:divBdr>
        </w:div>
        <w:div w:id="148885978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1438</Words>
  <Characters>8199</Characters>
  <Application>Microsoft Office Word</Application>
  <DocSecurity>0</DocSecurity>
  <Lines>68</Lines>
  <Paragraphs>19</Paragraphs>
  <ScaleCrop>false</ScaleCrop>
  <Company/>
  <LinksUpToDate>false</LinksUpToDate>
  <CharactersWithSpaces>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2022-08-18T09:44:00Z</dcterms:created>
  <dcterms:modified xsi:type="dcterms:W3CDTF">2022-08-18T09:45:00Z</dcterms:modified>
</cp:coreProperties>
</file>