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A16" w:rsidRPr="006D2A16" w:rsidRDefault="006D2A16" w:rsidP="006D2A16">
      <w:pPr>
        <w:spacing w:after="150" w:line="240" w:lineRule="auto"/>
        <w:rPr>
          <w:rFonts w:ascii="Arial" w:eastAsia="Times New Roman" w:hAnsi="Arial" w:cs="Arial"/>
          <w:b/>
          <w:bCs/>
          <w:color w:val="494949"/>
          <w:sz w:val="18"/>
          <w:szCs w:val="18"/>
        </w:rPr>
      </w:pPr>
      <w:r w:rsidRPr="006D2A16">
        <w:rPr>
          <w:rFonts w:ascii="Arial" w:eastAsia="Times New Roman" w:hAnsi="Arial" w:cs="Arial"/>
          <w:b/>
          <w:bCs/>
          <w:color w:val="494949"/>
          <w:sz w:val="18"/>
          <w:szCs w:val="18"/>
        </w:rPr>
        <w:t>    Bộ phận Thương Vụ Việt nam tại Kuwait xin giới thiệu tới bạn đọc quan tâm tới thị trường Kuwait tham khảo thông tin tổng hợp về tình hình tài chính , tiền tệ Kuwait trong quí I/2011 dưới đây :    </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w:t>
      </w:r>
      <w:r w:rsidRPr="006D2A16">
        <w:rPr>
          <w:rFonts w:ascii="Arial" w:eastAsia="Times New Roman" w:hAnsi="Arial" w:cs="Arial"/>
          <w:b/>
          <w:bCs/>
          <w:color w:val="494949"/>
          <w:sz w:val="18"/>
          <w:szCs w:val="18"/>
        </w:rPr>
        <w:t>Tình hình tài chính tiền tệ Kuwait quí I/2011</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b/>
          <w:bCs/>
          <w:color w:val="494949"/>
          <w:sz w:val="18"/>
          <w:szCs w:val="18"/>
        </w:rPr>
        <w:t>            -----------------*-----------------------</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b/>
          <w:bCs/>
          <w:color w:val="494949"/>
          <w:sz w:val="18"/>
          <w:szCs w:val="18"/>
        </w:rPr>
        <w:t>      1-  Biện pháp mở rộng cung ứng tiền tệ Kuwait</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Biện pháp mở rộng cung ứng tiền tệ Kuwait vẫn gần như đình trệ trong tháng 3 năm 2011, sau đó gia tăng đáng kểvào cuối tháng 3 và trong tháng 4 so vớitrước6,3% ( 1,61tỷKD)  , đạtsự tăng trưởngnhỏ khoảng 28,4triệu KDbằng 0,1% trên tổng số27 tỷKD.</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Việc tăng mức cung ứng tiền tệ trong tháng chủ yếu do tăng 123 triệu KD tiền gửi ngắn hạn  hoặc bằng 2,3 % của 5,5 tỷ KD vào cuối tháng 3 -2011 , bất chấp sự sụt giảm lượng tiền tệ trong lưu thông là 89,6 triệu KD trong thời kỳ này.</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Tài sản nước ngoài ròng (NFA) thuộccác ngân hàng trung ương đãchothấy một sự giảm xuống  24,3 triệu KD, trong khi tài sản ròng trong nước (NDA) tăng 298triệuKD  do sự gia tăng tiền gửi của chính phủ và các tài khoản khác .</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Trong Qúi I -2011, cung ứng tiền tệ Kuwait  ( M2)  tăng khoảng 6% hoặc bằng 1,52 tỷ KD, bởitrong đó cóviệc  quốc vương ( Amiri) cấp1,1 tỷ KD để phân phối cho  công dânKuwaittrong tháng 2 năm 2011, so với mức tăng trưởngthấp  2,4%  hoặc590 triệu KDtrong năm tài khóa 2010 (FY-10).</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Mức tăng trưởng lượng cung tiền tệ được ghi nhận trong năm 2010 đã thấp hơn nhiều so với 13,9% mức tăng cung tiền tệ trong năm 2009 . Việcchứng kiến ​​biến động thị trường chứng khoán và nhà đầu tư chấp nhận rủi ro thấp đóng một vai trò quan trọng tạodựng lượng tiền gửi vàocác ngân hàng.</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Hơn nữa, vì sự tăng cường của cuộc khủng hoảng tài chính trong tháng chín /2008, luợng cung tiền tệ (M2) đãtăng 26,1% hay5,6 tỷKD, và gia tăng số lượng lớn  51,1% trong tháng hainăm2009 &amp; 2011.</w:t>
      </w:r>
      <w:r w:rsidRPr="006D2A16">
        <w:rPr>
          <w:rFonts w:ascii="Arial" w:eastAsia="Times New Roman" w:hAnsi="Arial" w:cs="Arial"/>
          <w:color w:val="494949"/>
          <w:sz w:val="18"/>
          <w:szCs w:val="18"/>
        </w:rPr>
        <w:br/>
        <w:t>   Tuy nhiên, với chiến lược cho vay nghiêm ngặt được áp dụng bởi các ngân hàng địa phương do nguy cơ cao hơn từ các công ty làm ăn thua lỗ , đặc biệt là các công ty đầu tư, sự tăng trưởng cung tiền đã không thành công trong việc tạo ra kích thích tănglên tại các cơ sở tín dụng.</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w:t>
      </w:r>
      <w:r w:rsidRPr="006D2A16">
        <w:rPr>
          <w:rFonts w:ascii="Arial" w:eastAsia="Times New Roman" w:hAnsi="Arial" w:cs="Arial"/>
          <w:b/>
          <w:bCs/>
          <w:color w:val="494949"/>
          <w:sz w:val="18"/>
          <w:szCs w:val="18"/>
        </w:rPr>
        <w:t>2-</w:t>
      </w:r>
      <w:r w:rsidRPr="006D2A16">
        <w:rPr>
          <w:rFonts w:ascii="Arial" w:eastAsia="Times New Roman" w:hAnsi="Arial" w:cs="Arial"/>
          <w:color w:val="494949"/>
          <w:sz w:val="18"/>
          <w:szCs w:val="18"/>
        </w:rPr>
        <w:t> </w:t>
      </w:r>
      <w:r w:rsidRPr="006D2A16">
        <w:rPr>
          <w:rFonts w:ascii="Arial" w:eastAsia="Times New Roman" w:hAnsi="Arial" w:cs="Arial"/>
          <w:b/>
          <w:bCs/>
          <w:color w:val="494949"/>
          <w:sz w:val="18"/>
          <w:szCs w:val="18"/>
        </w:rPr>
        <w:t>Lựợng tiền gửi tại các ngân hàng địa phương</w:t>
      </w:r>
      <w:r w:rsidRPr="006D2A16">
        <w:rPr>
          <w:rFonts w:ascii="Arial" w:eastAsia="Times New Roman" w:hAnsi="Arial" w:cs="Arial"/>
          <w:color w:val="494949"/>
          <w:sz w:val="18"/>
          <w:szCs w:val="18"/>
        </w:rPr>
        <w:t> :</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Tổng số tiền gửi dân cư tiếp tục chiều hướng đi lên so tháng trước đạt mứctăng 0,9% hoặc 259,5 triệu KD  vàkết thúc tháng đạt  29,86 tỷ KD.</w:t>
      </w:r>
      <w:r w:rsidRPr="006D2A16">
        <w:rPr>
          <w:rFonts w:ascii="Arial" w:eastAsia="Times New Roman" w:hAnsi="Arial" w:cs="Arial"/>
          <w:color w:val="494949"/>
          <w:sz w:val="18"/>
          <w:szCs w:val="18"/>
        </w:rPr>
        <w:br/>
        <w:t>    Khu vực tư nhân gửi KDngắn hạn  và tiết kiệm tiền gửi tăng thêm khoảng 123 triệuKD và 88triệu KDtương ứng.  Mặt khác, tiền gửi bằng ngoại tệ khu vực tư nhân đã tăng 0,5% hay tương đương 12 triệu KD .</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Tiền gửicủa khu vực tư nhân đãgiữ một phần đáng kể trong quĩ tiền gửi cơ bản của cácngân hàngđịa phương ,tiền gửi đó đã đóng góp một tỷ lệ khoảng 87,2% , tăng 118triệuKD ,tương đươngtăng 0,5% , lên mức  26,04 tỷ KD trong Tháng Ba năm 2011.Do đó làm tăng lương tiền gửi trong quí I-2011 lên 5,7 % so với mức tăng  2,17%cùng kỳ trong năm tài khóa 2010.</w:t>
      </w:r>
      <w:r w:rsidRPr="006D2A16">
        <w:rPr>
          <w:rFonts w:ascii="Arial" w:eastAsia="Times New Roman" w:hAnsi="Arial" w:cs="Arial"/>
          <w:color w:val="494949"/>
          <w:sz w:val="18"/>
          <w:szCs w:val="18"/>
        </w:rPr>
        <w:br/>
        <w:t>   Hơn nữa, số tiền gửi khu vực tư nhân bằng đồng Kuwait Dinar chiếmđa số lượng tiền gửicủa tư nhân với tỷ lệ 91,3% tương đươngkhoảng 23,78 tỷKD, trong khi số tiền gửi bằng ngoại tệ của khu vực tư nhânchiếm  8,7%  tương đương  2,26 tỷKD.</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b/>
          <w:bCs/>
          <w:color w:val="494949"/>
          <w:sz w:val="18"/>
          <w:szCs w:val="18"/>
        </w:rPr>
        <w:t>         3-  Cơ sở tín dụng mở rộng của ngân hàng Kuwait</w:t>
      </w:r>
      <w:r w:rsidRPr="006D2A16">
        <w:rPr>
          <w:rFonts w:ascii="Arial" w:eastAsia="Times New Roman" w:hAnsi="Arial" w:cs="Arial"/>
          <w:color w:val="494949"/>
          <w:sz w:val="18"/>
          <w:szCs w:val="18"/>
        </w:rPr>
        <w:br/>
        <w:t>    Trong tháng ba -2011, các cơ sở tín dụng mở rộng của các ngân hàng địa phương Kuwwait vẫn trì trệ,chỉ tănggần 15,2triệu KD, đạt tổng thể 25,3 tỷ KD và do đó chỉ bổ sung nhỏ  làm tăng thêm khoảng  0,3% mức tăng trongcả  quí I-2011. Với những chuyểnđộng hỗn hợp đãthấy trong năm 2010, dự báo tín dụng cơ sởcủa Kuwait  năm 2010 – 2011 chỉtăng trưởng mỗinăm 0,4%, tương đương 100triệu KD , so với mức tăng trưởng 17% và 7% trong năm 2008 và 2009, tương ứng.</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Sự suy giảm tăng trưởng tín dụng trong năm 2010 và quý I - 2011 của Kuwait chủ yếu do sự siết chặt thanh khoản trên thị trường,  với các điều kiện tín dụng thắt chặtlàmtăng nguy cơ rủi ro , căng thẳngđối với cácdoanh nghiệp trong nước mắc nợ cao ,cùng với sự suy giảm giácảcủa tài sản tài chính ,càng thúcđẩy các ngân hàng cho vay phảithực hiện chính sách bảo thủ và nghiêm ngặttài chính.</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       Các phương tiện tài chính  cá nhân làthành phần lớn nhất của tăng trưởng tín dụng mà chỉ tăng  0,02% tương đương  1,8triệuKD và đạt 8,42 tỷKDvào cuối tháng 3 năm 2011,trong đó bao gồm khoảng 33,3% tổng sốdanh mục đầu tưvay ngân hàng . Cơ sở tín dụng để mua chứng khoán đại diện cho khoảng 31,1%  ngân hàngtưnhân và đạtkhoảng 2,62 tỷ KD, giảm 1,3% tương đưong  35,3 triệu KDso mức tháng hai năm 2011 .</w:t>
      </w:r>
      <w:r w:rsidRPr="006D2A16">
        <w:rPr>
          <w:rFonts w:ascii="Arial" w:eastAsia="Times New Roman" w:hAnsi="Arial" w:cs="Arial"/>
          <w:color w:val="494949"/>
          <w:sz w:val="18"/>
          <w:szCs w:val="18"/>
        </w:rPr>
        <w:br/>
        <w:t>    Vay bất động sản và ngành xây dựng, bao gồm mức trung bình khoảng 33% danh mục đầu tư vay của các ngân hàng địa phương từ tháng 12- 2008, tăng 0,9%  hoặc 78triệu KD ,  đểđạt  8,41 tỷKD vàocuối tháng ba -2011. Xu hướngsuy thoái trong thị trường bất động sản tại địa phương , các công ty bất động sản và các nhà thầu tại Kuwait phải đối mặt với một môi trường hoạt động không thuận lợi và các ngân hàng cho vay trong khu vực này càng cho thấy sự suy yếu hơn nữa trong thị trường bất động sản đầy sự rủi ro tín dụng./.</w:t>
      </w:r>
    </w:p>
    <w:p w:rsidR="006D2A16" w:rsidRPr="006D2A16" w:rsidRDefault="006D2A16" w:rsidP="006D2A16">
      <w:pPr>
        <w:spacing w:after="0" w:line="240" w:lineRule="auto"/>
        <w:rPr>
          <w:rFonts w:ascii="Arial" w:eastAsia="Times New Roman" w:hAnsi="Arial" w:cs="Arial"/>
          <w:color w:val="494949"/>
          <w:sz w:val="18"/>
          <w:szCs w:val="18"/>
        </w:rPr>
      </w:pPr>
      <w:r w:rsidRPr="006D2A16">
        <w:rPr>
          <w:rFonts w:ascii="Arial" w:eastAsia="Times New Roman" w:hAnsi="Arial" w:cs="Arial"/>
          <w:color w:val="494949"/>
          <w:sz w:val="18"/>
          <w:szCs w:val="18"/>
        </w:rPr>
        <w:t>Nguồn :  M2 ( Hội đồng đánh giá cung ứng tiền tệ Kuwait ) và tổng hơp từ báo Arab times tháng 3-4-5/2011.</w:t>
      </w:r>
    </w:p>
    <w:p w:rsidR="006D2A16" w:rsidRPr="006D2A16" w:rsidRDefault="006D2A16" w:rsidP="006D2A16">
      <w:pPr>
        <w:spacing w:line="240" w:lineRule="auto"/>
        <w:jc w:val="right"/>
        <w:rPr>
          <w:rFonts w:ascii="Arial" w:eastAsia="Times New Roman" w:hAnsi="Arial" w:cs="Arial"/>
          <w:color w:val="494949"/>
          <w:sz w:val="18"/>
          <w:szCs w:val="18"/>
        </w:rPr>
      </w:pPr>
      <w:r w:rsidRPr="006D2A16">
        <w:rPr>
          <w:rFonts w:ascii="Arial" w:eastAsia="Times New Roman" w:hAnsi="Arial" w:cs="Arial"/>
          <w:color w:val="494949"/>
          <w:sz w:val="18"/>
          <w:szCs w:val="18"/>
        </w:rPr>
        <w:t>                                                              Lê Hải Châu - TTTM</w:t>
      </w:r>
    </w:p>
    <w:p w:rsidR="005531FC" w:rsidRPr="006D2A16" w:rsidRDefault="005531FC" w:rsidP="006D2A16">
      <w:bookmarkStart w:id="0" w:name="_GoBack"/>
      <w:bookmarkEnd w:id="0"/>
    </w:p>
    <w:sectPr w:rsidR="005531FC" w:rsidRPr="006D2A1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3740F2"/>
    <w:rsid w:val="005531FC"/>
    <w:rsid w:val="005E1046"/>
    <w:rsid w:val="00686F73"/>
    <w:rsid w:val="006D2A16"/>
    <w:rsid w:val="006E4EFB"/>
    <w:rsid w:val="006F37D5"/>
    <w:rsid w:val="0072321A"/>
    <w:rsid w:val="00764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524">
      <w:bodyDiv w:val="1"/>
      <w:marLeft w:val="0"/>
      <w:marRight w:val="0"/>
      <w:marTop w:val="0"/>
      <w:marBottom w:val="0"/>
      <w:divBdr>
        <w:top w:val="none" w:sz="0" w:space="0" w:color="auto"/>
        <w:left w:val="none" w:sz="0" w:space="0" w:color="auto"/>
        <w:bottom w:val="none" w:sz="0" w:space="0" w:color="auto"/>
        <w:right w:val="none" w:sz="0" w:space="0" w:color="auto"/>
      </w:divBdr>
      <w:divsChild>
        <w:div w:id="1664383749">
          <w:marLeft w:val="0"/>
          <w:marRight w:val="0"/>
          <w:marTop w:val="0"/>
          <w:marBottom w:val="150"/>
          <w:divBdr>
            <w:top w:val="none" w:sz="0" w:space="0" w:color="auto"/>
            <w:left w:val="none" w:sz="0" w:space="0" w:color="auto"/>
            <w:bottom w:val="none" w:sz="0" w:space="0" w:color="auto"/>
            <w:right w:val="none" w:sz="0" w:space="0" w:color="auto"/>
          </w:divBdr>
        </w:div>
        <w:div w:id="2017268394">
          <w:marLeft w:val="0"/>
          <w:marRight w:val="0"/>
          <w:marTop w:val="0"/>
          <w:marBottom w:val="300"/>
          <w:divBdr>
            <w:top w:val="none" w:sz="0" w:space="0" w:color="auto"/>
            <w:left w:val="none" w:sz="0" w:space="0" w:color="auto"/>
            <w:bottom w:val="none" w:sz="0" w:space="0" w:color="auto"/>
            <w:right w:val="none" w:sz="0" w:space="0" w:color="auto"/>
          </w:divBdr>
        </w:div>
      </w:divsChild>
    </w:div>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 w:id="319893564">
      <w:bodyDiv w:val="1"/>
      <w:marLeft w:val="0"/>
      <w:marRight w:val="0"/>
      <w:marTop w:val="0"/>
      <w:marBottom w:val="0"/>
      <w:divBdr>
        <w:top w:val="none" w:sz="0" w:space="0" w:color="auto"/>
        <w:left w:val="none" w:sz="0" w:space="0" w:color="auto"/>
        <w:bottom w:val="none" w:sz="0" w:space="0" w:color="auto"/>
        <w:right w:val="none" w:sz="0" w:space="0" w:color="auto"/>
      </w:divBdr>
      <w:divsChild>
        <w:div w:id="1078986445">
          <w:marLeft w:val="0"/>
          <w:marRight w:val="0"/>
          <w:marTop w:val="0"/>
          <w:marBottom w:val="150"/>
          <w:divBdr>
            <w:top w:val="none" w:sz="0" w:space="0" w:color="auto"/>
            <w:left w:val="none" w:sz="0" w:space="0" w:color="auto"/>
            <w:bottom w:val="none" w:sz="0" w:space="0" w:color="auto"/>
            <w:right w:val="none" w:sz="0" w:space="0" w:color="auto"/>
          </w:divBdr>
        </w:div>
        <w:div w:id="2022506797">
          <w:marLeft w:val="0"/>
          <w:marRight w:val="0"/>
          <w:marTop w:val="0"/>
          <w:marBottom w:val="300"/>
          <w:divBdr>
            <w:top w:val="none" w:sz="0" w:space="0" w:color="auto"/>
            <w:left w:val="none" w:sz="0" w:space="0" w:color="auto"/>
            <w:bottom w:val="none" w:sz="0" w:space="0" w:color="auto"/>
            <w:right w:val="none" w:sz="0" w:space="0" w:color="auto"/>
          </w:divBdr>
        </w:div>
      </w:divsChild>
    </w:div>
    <w:div w:id="1457262103">
      <w:bodyDiv w:val="1"/>
      <w:marLeft w:val="0"/>
      <w:marRight w:val="0"/>
      <w:marTop w:val="0"/>
      <w:marBottom w:val="0"/>
      <w:divBdr>
        <w:top w:val="none" w:sz="0" w:space="0" w:color="auto"/>
        <w:left w:val="none" w:sz="0" w:space="0" w:color="auto"/>
        <w:bottom w:val="none" w:sz="0" w:space="0" w:color="auto"/>
        <w:right w:val="none" w:sz="0" w:space="0" w:color="auto"/>
      </w:divBdr>
      <w:divsChild>
        <w:div w:id="1677414425">
          <w:marLeft w:val="0"/>
          <w:marRight w:val="0"/>
          <w:marTop w:val="0"/>
          <w:marBottom w:val="150"/>
          <w:divBdr>
            <w:top w:val="none" w:sz="0" w:space="0" w:color="auto"/>
            <w:left w:val="none" w:sz="0" w:space="0" w:color="auto"/>
            <w:bottom w:val="none" w:sz="0" w:space="0" w:color="auto"/>
            <w:right w:val="none" w:sz="0" w:space="0" w:color="auto"/>
          </w:divBdr>
        </w:div>
        <w:div w:id="1909220388">
          <w:marLeft w:val="0"/>
          <w:marRight w:val="0"/>
          <w:marTop w:val="0"/>
          <w:marBottom w:val="300"/>
          <w:divBdr>
            <w:top w:val="none" w:sz="0" w:space="0" w:color="auto"/>
            <w:left w:val="none" w:sz="0" w:space="0" w:color="auto"/>
            <w:bottom w:val="none" w:sz="0" w:space="0" w:color="auto"/>
            <w:right w:val="none" w:sz="0" w:space="0" w:color="auto"/>
          </w:divBdr>
        </w:div>
      </w:divsChild>
    </w:div>
    <w:div w:id="1793985541">
      <w:bodyDiv w:val="1"/>
      <w:marLeft w:val="0"/>
      <w:marRight w:val="0"/>
      <w:marTop w:val="0"/>
      <w:marBottom w:val="0"/>
      <w:divBdr>
        <w:top w:val="none" w:sz="0" w:space="0" w:color="auto"/>
        <w:left w:val="none" w:sz="0" w:space="0" w:color="auto"/>
        <w:bottom w:val="none" w:sz="0" w:space="0" w:color="auto"/>
        <w:right w:val="none" w:sz="0" w:space="0" w:color="auto"/>
      </w:divBdr>
      <w:divsChild>
        <w:div w:id="1355617605">
          <w:marLeft w:val="0"/>
          <w:marRight w:val="0"/>
          <w:marTop w:val="0"/>
          <w:marBottom w:val="150"/>
          <w:divBdr>
            <w:top w:val="none" w:sz="0" w:space="0" w:color="auto"/>
            <w:left w:val="none" w:sz="0" w:space="0" w:color="auto"/>
            <w:bottom w:val="none" w:sz="0" w:space="0" w:color="auto"/>
            <w:right w:val="none" w:sz="0" w:space="0" w:color="auto"/>
          </w:divBdr>
        </w:div>
        <w:div w:id="133918984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769</Words>
  <Characters>4386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2022-07-29T07:29:00Z</dcterms:created>
  <dcterms:modified xsi:type="dcterms:W3CDTF">2022-07-29T07:29:00Z</dcterms:modified>
</cp:coreProperties>
</file>