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6FF" w:rsidRDefault="006D16FF" w:rsidP="00AB2A41">
      <w:pPr>
        <w:shd w:val="clear" w:color="auto" w:fill="FFFFFF"/>
        <w:jc w:val="center"/>
        <w:rPr>
          <w:b/>
          <w:bCs/>
          <w:color w:val="000000"/>
          <w:sz w:val="28"/>
          <w:szCs w:val="28"/>
        </w:rPr>
      </w:pPr>
      <w:r>
        <w:rPr>
          <w:b/>
          <w:bCs/>
          <w:color w:val="000000"/>
          <w:sz w:val="28"/>
          <w:szCs w:val="28"/>
        </w:rPr>
        <w:t>Kinh tế Qatar năm 2012</w:t>
      </w:r>
    </w:p>
    <w:p w:rsidR="006D16FF" w:rsidRDefault="006D16FF" w:rsidP="00FB0524">
      <w:pPr>
        <w:shd w:val="clear" w:color="auto" w:fill="FFFFFF"/>
        <w:jc w:val="both"/>
        <w:rPr>
          <w:b/>
          <w:bCs/>
          <w:color w:val="000000"/>
          <w:sz w:val="28"/>
          <w:szCs w:val="28"/>
        </w:rPr>
      </w:pPr>
    </w:p>
    <w:p w:rsidR="006D16FF" w:rsidRPr="00F636CB" w:rsidRDefault="006D16FF" w:rsidP="000271E6">
      <w:pPr>
        <w:shd w:val="clear" w:color="auto" w:fill="FFFFFF"/>
        <w:jc w:val="both"/>
        <w:rPr>
          <w:b/>
          <w:bCs/>
          <w:color w:val="000000"/>
          <w:sz w:val="28"/>
          <w:szCs w:val="28"/>
        </w:rPr>
      </w:pPr>
      <w:r>
        <w:rPr>
          <w:b/>
          <w:bCs/>
          <w:color w:val="000000"/>
          <w:sz w:val="28"/>
          <w:szCs w:val="28"/>
        </w:rPr>
        <w:tab/>
      </w:r>
      <w:r w:rsidRPr="00F636CB">
        <w:rPr>
          <w:b/>
          <w:bCs/>
          <w:color w:val="000000"/>
          <w:sz w:val="28"/>
          <w:szCs w:val="28"/>
        </w:rPr>
        <w:t>1. Mức tăng GDP</w:t>
      </w:r>
    </w:p>
    <w:p w:rsidR="006D16FF" w:rsidRDefault="006D16FF" w:rsidP="00FB0524">
      <w:pPr>
        <w:shd w:val="clear" w:color="auto" w:fill="FFFFFF"/>
        <w:jc w:val="both"/>
        <w:rPr>
          <w:bCs/>
          <w:color w:val="000000"/>
          <w:sz w:val="28"/>
          <w:szCs w:val="28"/>
        </w:rPr>
      </w:pPr>
    </w:p>
    <w:p w:rsidR="006D16FF" w:rsidRDefault="006D16FF" w:rsidP="00FB0524">
      <w:pPr>
        <w:shd w:val="clear" w:color="auto" w:fill="FFFFFF"/>
        <w:jc w:val="both"/>
        <w:rPr>
          <w:bCs/>
          <w:color w:val="000000"/>
          <w:sz w:val="28"/>
          <w:szCs w:val="28"/>
        </w:rPr>
      </w:pPr>
      <w:r>
        <w:rPr>
          <w:bCs/>
          <w:color w:val="000000"/>
          <w:sz w:val="28"/>
          <w:szCs w:val="28"/>
        </w:rPr>
        <w:tab/>
        <w:t>Qatar đã duy trì được mức tăng trưởng kinh tế nhanh trong những năm qua nhờ giá dầu và khí đốt ở mức cao và việc mở rộng khai thác và cung ứng khí đốt tự nhiên.</w:t>
      </w:r>
    </w:p>
    <w:p w:rsidR="006D16FF" w:rsidRDefault="006D16FF" w:rsidP="00FB0524">
      <w:pPr>
        <w:shd w:val="clear" w:color="auto" w:fill="FFFFFF"/>
        <w:jc w:val="both"/>
        <w:rPr>
          <w:bCs/>
          <w:color w:val="000000"/>
          <w:sz w:val="28"/>
          <w:szCs w:val="28"/>
        </w:rPr>
      </w:pPr>
    </w:p>
    <w:p w:rsidR="006D16FF" w:rsidRDefault="006D16FF" w:rsidP="00FB0524">
      <w:pPr>
        <w:shd w:val="clear" w:color="auto" w:fill="FFFFFF"/>
        <w:jc w:val="both"/>
        <w:rPr>
          <w:bCs/>
          <w:color w:val="000000"/>
          <w:sz w:val="28"/>
          <w:szCs w:val="28"/>
        </w:rPr>
      </w:pPr>
      <w:r>
        <w:rPr>
          <w:bCs/>
          <w:color w:val="000000"/>
          <w:sz w:val="28"/>
          <w:szCs w:val="28"/>
        </w:rPr>
        <w:tab/>
        <w:t>Tuy nhiên, Quý I/2012, GDP tăng 6,9%, giảm mạnh so với mức 14,8% của Quý IV/2011. Ban Tổng thư ký về kế hoạch phát triển Qatar (GSDP) ước kinh tế năm 2012 tăng 6,2% và giảm xuống mức 4,5% trong năm 2013 do bị ảnh hưởng của khủng hoảng từ khu vực Euro. Kinh tế khu vực phi dầu duy trì mức tăng cao trong năm 2013, đặc biệt lĩnh vực giao thông, truyền thông, dịch vụ chính phủ và xây dựng đã tăng 2 con số trong Quý I/2012.</w:t>
      </w:r>
    </w:p>
    <w:p w:rsidR="006D16FF" w:rsidRDefault="006D16FF" w:rsidP="00FB0524">
      <w:pPr>
        <w:shd w:val="clear" w:color="auto" w:fill="FFFFFF"/>
        <w:jc w:val="both"/>
        <w:rPr>
          <w:bCs/>
          <w:color w:val="000000"/>
          <w:sz w:val="28"/>
          <w:szCs w:val="28"/>
        </w:rPr>
      </w:pPr>
    </w:p>
    <w:p w:rsidR="006D16FF" w:rsidRPr="00F636CB" w:rsidRDefault="006D16FF" w:rsidP="00FB0524">
      <w:pPr>
        <w:shd w:val="clear" w:color="auto" w:fill="FFFFFF"/>
        <w:jc w:val="both"/>
        <w:rPr>
          <w:b/>
          <w:bCs/>
          <w:color w:val="000000"/>
          <w:sz w:val="28"/>
          <w:szCs w:val="28"/>
        </w:rPr>
      </w:pPr>
      <w:r>
        <w:rPr>
          <w:b/>
          <w:bCs/>
          <w:color w:val="000000"/>
          <w:sz w:val="28"/>
          <w:szCs w:val="28"/>
        </w:rPr>
        <w:tab/>
      </w:r>
      <w:r w:rsidRPr="00F636CB">
        <w:rPr>
          <w:b/>
          <w:bCs/>
          <w:color w:val="000000"/>
          <w:sz w:val="28"/>
          <w:szCs w:val="28"/>
        </w:rPr>
        <w:t>2. Các chỉ số kinh tế vĩ mô</w:t>
      </w:r>
    </w:p>
    <w:p w:rsidR="006D16FF" w:rsidRPr="00FB0524" w:rsidRDefault="006D16FF" w:rsidP="00FB0524">
      <w:pPr>
        <w:shd w:val="clear" w:color="auto" w:fill="FFFFFF"/>
        <w:jc w:val="both"/>
        <w:rPr>
          <w:color w:val="000000"/>
          <w:sz w:val="28"/>
          <w:szCs w:val="28"/>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3556"/>
        <w:gridCol w:w="1619"/>
        <w:gridCol w:w="1679"/>
        <w:gridCol w:w="1679"/>
      </w:tblGrid>
      <w:tr w:rsidR="006D16FF" w:rsidRPr="00FB0524" w:rsidTr="00FB0524">
        <w:trPr>
          <w:tblCellSpacing w:w="0" w:type="dxa"/>
        </w:trPr>
        <w:tc>
          <w:tcPr>
            <w:tcW w:w="5124" w:type="dxa"/>
            <w:tcBorders>
              <w:top w:val="outset" w:sz="6" w:space="0" w:color="auto"/>
              <w:bottom w:val="outset" w:sz="6" w:space="0" w:color="auto"/>
              <w:right w:val="outset" w:sz="6" w:space="0" w:color="auto"/>
            </w:tcBorders>
          </w:tcPr>
          <w:p w:rsidR="006D16FF" w:rsidRPr="00AB2A41" w:rsidRDefault="006D16FF" w:rsidP="00AB2A41">
            <w:pPr>
              <w:jc w:val="center"/>
              <w:rPr>
                <w:b/>
                <w:i/>
                <w:color w:val="000000"/>
                <w:sz w:val="28"/>
                <w:szCs w:val="28"/>
              </w:rPr>
            </w:pPr>
            <w:r w:rsidRPr="00AB2A41">
              <w:rPr>
                <w:b/>
                <w:i/>
                <w:color w:val="000000"/>
                <w:sz w:val="28"/>
                <w:szCs w:val="28"/>
              </w:rPr>
              <w:t>Các chỉ số</w:t>
            </w:r>
          </w:p>
        </w:tc>
        <w:tc>
          <w:tcPr>
            <w:tcW w:w="2232" w:type="dxa"/>
            <w:tcBorders>
              <w:top w:val="outset" w:sz="6" w:space="0" w:color="auto"/>
              <w:left w:val="outset" w:sz="6" w:space="0" w:color="auto"/>
              <w:bottom w:val="outset" w:sz="6" w:space="0" w:color="auto"/>
              <w:right w:val="outset" w:sz="6" w:space="0" w:color="auto"/>
            </w:tcBorders>
          </w:tcPr>
          <w:p w:rsidR="006D16FF" w:rsidRPr="00AB2A41" w:rsidRDefault="006D16FF" w:rsidP="00AB2A41">
            <w:pPr>
              <w:jc w:val="center"/>
              <w:rPr>
                <w:b/>
                <w:i/>
                <w:color w:val="000000"/>
                <w:sz w:val="28"/>
                <w:szCs w:val="28"/>
              </w:rPr>
            </w:pPr>
            <w:r w:rsidRPr="00AB2A41">
              <w:rPr>
                <w:b/>
                <w:i/>
                <w:color w:val="000000"/>
                <w:sz w:val="28"/>
                <w:szCs w:val="28"/>
              </w:rPr>
              <w:t>2010</w:t>
            </w:r>
          </w:p>
        </w:tc>
        <w:tc>
          <w:tcPr>
            <w:tcW w:w="2232" w:type="dxa"/>
            <w:tcBorders>
              <w:top w:val="outset" w:sz="6" w:space="0" w:color="auto"/>
              <w:left w:val="outset" w:sz="6" w:space="0" w:color="auto"/>
              <w:bottom w:val="outset" w:sz="6" w:space="0" w:color="auto"/>
              <w:right w:val="outset" w:sz="6" w:space="0" w:color="auto"/>
            </w:tcBorders>
          </w:tcPr>
          <w:p w:rsidR="006D16FF" w:rsidRPr="00AB2A41" w:rsidRDefault="006D16FF" w:rsidP="00AB2A41">
            <w:pPr>
              <w:jc w:val="center"/>
              <w:rPr>
                <w:b/>
                <w:i/>
                <w:color w:val="000000"/>
                <w:sz w:val="28"/>
                <w:szCs w:val="28"/>
              </w:rPr>
            </w:pPr>
            <w:r w:rsidRPr="00AB2A41">
              <w:rPr>
                <w:b/>
                <w:i/>
                <w:color w:val="000000"/>
                <w:sz w:val="28"/>
                <w:szCs w:val="28"/>
              </w:rPr>
              <w:t>2011</w:t>
            </w:r>
          </w:p>
        </w:tc>
        <w:tc>
          <w:tcPr>
            <w:tcW w:w="2232" w:type="dxa"/>
            <w:tcBorders>
              <w:top w:val="outset" w:sz="6" w:space="0" w:color="auto"/>
              <w:left w:val="outset" w:sz="6" w:space="0" w:color="auto"/>
              <w:bottom w:val="outset" w:sz="6" w:space="0" w:color="auto"/>
            </w:tcBorders>
          </w:tcPr>
          <w:p w:rsidR="006D16FF" w:rsidRPr="00AB2A41" w:rsidRDefault="006D16FF" w:rsidP="00AB2A41">
            <w:pPr>
              <w:jc w:val="center"/>
              <w:rPr>
                <w:b/>
                <w:i/>
                <w:color w:val="000000"/>
                <w:sz w:val="28"/>
                <w:szCs w:val="28"/>
              </w:rPr>
            </w:pPr>
            <w:r w:rsidRPr="00AB2A41">
              <w:rPr>
                <w:b/>
                <w:i/>
                <w:color w:val="000000"/>
                <w:sz w:val="28"/>
                <w:szCs w:val="28"/>
              </w:rPr>
              <w:t>2012</w:t>
            </w:r>
          </w:p>
        </w:tc>
      </w:tr>
      <w:tr w:rsidR="006D16FF" w:rsidRPr="00FB0524" w:rsidTr="00FB0524">
        <w:trPr>
          <w:tblCellSpacing w:w="0" w:type="dxa"/>
        </w:trPr>
        <w:tc>
          <w:tcPr>
            <w:tcW w:w="5124" w:type="dxa"/>
            <w:tcBorders>
              <w:top w:val="outset" w:sz="6" w:space="0" w:color="auto"/>
              <w:bottom w:val="outset" w:sz="6" w:space="0" w:color="auto"/>
              <w:right w:val="outset" w:sz="6" w:space="0" w:color="auto"/>
            </w:tcBorders>
          </w:tcPr>
          <w:p w:rsidR="006D16FF" w:rsidRPr="00FB0524" w:rsidRDefault="006D16FF" w:rsidP="00C842D3">
            <w:pPr>
              <w:rPr>
                <w:color w:val="000000"/>
                <w:sz w:val="28"/>
                <w:szCs w:val="28"/>
              </w:rPr>
            </w:pPr>
            <w:r>
              <w:rPr>
                <w:color w:val="000000"/>
                <w:sz w:val="28"/>
                <w:szCs w:val="28"/>
              </w:rPr>
              <w:t>Dân số (triệu người</w:t>
            </w:r>
            <w:r w:rsidRPr="00FB0524">
              <w:rPr>
                <w:color w:val="000000"/>
                <w:sz w:val="28"/>
                <w:szCs w:val="28"/>
              </w:rPr>
              <w:t>)</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1.7</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1.8</w:t>
            </w:r>
          </w:p>
        </w:tc>
        <w:tc>
          <w:tcPr>
            <w:tcW w:w="2232" w:type="dxa"/>
            <w:tcBorders>
              <w:top w:val="outset" w:sz="6" w:space="0" w:color="auto"/>
              <w:left w:val="outset" w:sz="6" w:space="0" w:color="auto"/>
              <w:bottom w:val="outset" w:sz="6" w:space="0" w:color="auto"/>
            </w:tcBorders>
          </w:tcPr>
          <w:p w:rsidR="006D16FF" w:rsidRPr="00FB0524" w:rsidRDefault="006D16FF" w:rsidP="00FB0524">
            <w:pPr>
              <w:jc w:val="center"/>
              <w:rPr>
                <w:color w:val="000000"/>
                <w:sz w:val="28"/>
                <w:szCs w:val="28"/>
              </w:rPr>
            </w:pPr>
            <w:r w:rsidRPr="00FB0524">
              <w:rPr>
                <w:color w:val="000000"/>
                <w:sz w:val="28"/>
                <w:szCs w:val="28"/>
              </w:rPr>
              <w:t>1.8</w:t>
            </w:r>
          </w:p>
        </w:tc>
      </w:tr>
      <w:tr w:rsidR="006D16FF" w:rsidRPr="00FB0524" w:rsidTr="00FB0524">
        <w:trPr>
          <w:tblCellSpacing w:w="0" w:type="dxa"/>
        </w:trPr>
        <w:tc>
          <w:tcPr>
            <w:tcW w:w="5124" w:type="dxa"/>
            <w:tcBorders>
              <w:top w:val="outset" w:sz="6" w:space="0" w:color="auto"/>
              <w:bottom w:val="outset" w:sz="6" w:space="0" w:color="auto"/>
              <w:right w:val="outset" w:sz="6" w:space="0" w:color="auto"/>
            </w:tcBorders>
          </w:tcPr>
          <w:p w:rsidR="006D16FF" w:rsidRPr="00FB0524" w:rsidRDefault="006D16FF" w:rsidP="00C842D3">
            <w:pPr>
              <w:rPr>
                <w:color w:val="000000"/>
                <w:sz w:val="28"/>
                <w:szCs w:val="28"/>
              </w:rPr>
            </w:pPr>
            <w:r>
              <w:rPr>
                <w:color w:val="000000"/>
                <w:sz w:val="28"/>
                <w:szCs w:val="28"/>
              </w:rPr>
              <w:t>GDP (tỷ USD</w:t>
            </w:r>
            <w:r w:rsidRPr="00FB0524">
              <w:rPr>
                <w:color w:val="000000"/>
                <w:sz w:val="28"/>
                <w:szCs w:val="28"/>
              </w:rPr>
              <w:t>)</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127</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174</w:t>
            </w:r>
          </w:p>
        </w:tc>
        <w:tc>
          <w:tcPr>
            <w:tcW w:w="2232" w:type="dxa"/>
            <w:tcBorders>
              <w:top w:val="outset" w:sz="6" w:space="0" w:color="auto"/>
              <w:left w:val="outset" w:sz="6" w:space="0" w:color="auto"/>
              <w:bottom w:val="outset" w:sz="6" w:space="0" w:color="auto"/>
            </w:tcBorders>
          </w:tcPr>
          <w:p w:rsidR="006D16FF" w:rsidRPr="00FB0524" w:rsidRDefault="006D16FF" w:rsidP="00FB0524">
            <w:pPr>
              <w:jc w:val="center"/>
              <w:rPr>
                <w:color w:val="000000"/>
                <w:sz w:val="28"/>
                <w:szCs w:val="28"/>
              </w:rPr>
            </w:pPr>
            <w:r w:rsidRPr="00FB0524">
              <w:rPr>
                <w:color w:val="000000"/>
                <w:sz w:val="28"/>
                <w:szCs w:val="28"/>
              </w:rPr>
              <w:t>196</w:t>
            </w:r>
          </w:p>
        </w:tc>
      </w:tr>
      <w:tr w:rsidR="006D16FF" w:rsidRPr="00FB0524" w:rsidTr="00FB0524">
        <w:trPr>
          <w:tblCellSpacing w:w="0" w:type="dxa"/>
        </w:trPr>
        <w:tc>
          <w:tcPr>
            <w:tcW w:w="5124" w:type="dxa"/>
            <w:tcBorders>
              <w:top w:val="outset" w:sz="6" w:space="0" w:color="auto"/>
              <w:bottom w:val="outset" w:sz="6" w:space="0" w:color="auto"/>
              <w:right w:val="outset" w:sz="6" w:space="0" w:color="auto"/>
            </w:tcBorders>
          </w:tcPr>
          <w:p w:rsidR="006D16FF" w:rsidRPr="00FB0524" w:rsidRDefault="006D16FF" w:rsidP="00C842D3">
            <w:pPr>
              <w:rPr>
                <w:color w:val="000000"/>
                <w:sz w:val="28"/>
                <w:szCs w:val="28"/>
              </w:rPr>
            </w:pPr>
            <w:r>
              <w:rPr>
                <w:color w:val="000000"/>
                <w:sz w:val="28"/>
                <w:szCs w:val="28"/>
              </w:rPr>
              <w:t>GDP/người (USD</w:t>
            </w:r>
            <w:r w:rsidRPr="00FB0524">
              <w:rPr>
                <w:color w:val="000000"/>
                <w:sz w:val="28"/>
                <w:szCs w:val="28"/>
              </w:rPr>
              <w:t>)</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Pr>
                <w:color w:val="000000"/>
                <w:sz w:val="28"/>
                <w:szCs w:val="28"/>
              </w:rPr>
              <w:t>74.</w:t>
            </w:r>
            <w:r w:rsidRPr="00FB0524">
              <w:rPr>
                <w:color w:val="000000"/>
                <w:sz w:val="28"/>
                <w:szCs w:val="28"/>
              </w:rPr>
              <w:t>901</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Pr>
                <w:color w:val="000000"/>
                <w:sz w:val="28"/>
                <w:szCs w:val="28"/>
              </w:rPr>
              <w:t>98.</w:t>
            </w:r>
            <w:r w:rsidRPr="00FB0524">
              <w:rPr>
                <w:color w:val="000000"/>
                <w:sz w:val="28"/>
                <w:szCs w:val="28"/>
              </w:rPr>
              <w:t>329</w:t>
            </w:r>
          </w:p>
        </w:tc>
        <w:tc>
          <w:tcPr>
            <w:tcW w:w="2232" w:type="dxa"/>
            <w:tcBorders>
              <w:top w:val="outset" w:sz="6" w:space="0" w:color="auto"/>
              <w:left w:val="outset" w:sz="6" w:space="0" w:color="auto"/>
              <w:bottom w:val="outset" w:sz="6" w:space="0" w:color="auto"/>
            </w:tcBorders>
          </w:tcPr>
          <w:p w:rsidR="006D16FF" w:rsidRPr="00FB0524" w:rsidRDefault="006D16FF" w:rsidP="00FB0524">
            <w:pPr>
              <w:jc w:val="center"/>
              <w:rPr>
                <w:color w:val="000000"/>
                <w:sz w:val="28"/>
                <w:szCs w:val="28"/>
              </w:rPr>
            </w:pPr>
            <w:r>
              <w:rPr>
                <w:color w:val="000000"/>
                <w:sz w:val="28"/>
                <w:szCs w:val="28"/>
              </w:rPr>
              <w:t>106.</w:t>
            </w:r>
            <w:r w:rsidRPr="00FB0524">
              <w:rPr>
                <w:color w:val="000000"/>
                <w:sz w:val="28"/>
                <w:szCs w:val="28"/>
              </w:rPr>
              <w:t>394</w:t>
            </w:r>
          </w:p>
        </w:tc>
      </w:tr>
      <w:tr w:rsidR="006D16FF" w:rsidRPr="00FB0524" w:rsidTr="00FB0524">
        <w:trPr>
          <w:tblCellSpacing w:w="0" w:type="dxa"/>
        </w:trPr>
        <w:tc>
          <w:tcPr>
            <w:tcW w:w="5124" w:type="dxa"/>
            <w:tcBorders>
              <w:top w:val="outset" w:sz="6" w:space="0" w:color="auto"/>
              <w:bottom w:val="outset" w:sz="6" w:space="0" w:color="auto"/>
              <w:right w:val="outset" w:sz="6" w:space="0" w:color="auto"/>
            </w:tcBorders>
          </w:tcPr>
          <w:p w:rsidR="006D16FF" w:rsidRPr="00FB0524" w:rsidRDefault="006D16FF" w:rsidP="00C842D3">
            <w:pPr>
              <w:rPr>
                <w:color w:val="000000"/>
                <w:sz w:val="28"/>
                <w:szCs w:val="28"/>
              </w:rPr>
            </w:pPr>
            <w:r>
              <w:rPr>
                <w:color w:val="000000"/>
                <w:sz w:val="28"/>
                <w:szCs w:val="28"/>
              </w:rPr>
              <w:t>Mức tăng GDP</w:t>
            </w:r>
            <w:r w:rsidRPr="00FB0524">
              <w:rPr>
                <w:color w:val="000000"/>
                <w:sz w:val="28"/>
                <w:szCs w:val="28"/>
              </w:rPr>
              <w:t xml:space="preserve"> (%)</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+16.6</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+18.8</w:t>
            </w:r>
          </w:p>
        </w:tc>
        <w:tc>
          <w:tcPr>
            <w:tcW w:w="2232" w:type="dxa"/>
            <w:tcBorders>
              <w:top w:val="outset" w:sz="6" w:space="0" w:color="auto"/>
              <w:left w:val="outset" w:sz="6" w:space="0" w:color="auto"/>
              <w:bottom w:val="outset" w:sz="6" w:space="0" w:color="auto"/>
            </w:tcBorders>
          </w:tcPr>
          <w:p w:rsidR="006D16FF" w:rsidRPr="00FB0524" w:rsidRDefault="006D16FF" w:rsidP="00FB0524">
            <w:pPr>
              <w:jc w:val="center"/>
              <w:rPr>
                <w:color w:val="000000"/>
                <w:sz w:val="28"/>
                <w:szCs w:val="28"/>
              </w:rPr>
            </w:pPr>
            <w:r w:rsidRPr="00FB0524">
              <w:rPr>
                <w:color w:val="000000"/>
                <w:sz w:val="28"/>
                <w:szCs w:val="28"/>
              </w:rPr>
              <w:t>+6.0</w:t>
            </w:r>
          </w:p>
        </w:tc>
      </w:tr>
      <w:tr w:rsidR="006D16FF" w:rsidRPr="00FB0524" w:rsidTr="00FB0524">
        <w:trPr>
          <w:tblCellSpacing w:w="0" w:type="dxa"/>
        </w:trPr>
        <w:tc>
          <w:tcPr>
            <w:tcW w:w="5124" w:type="dxa"/>
            <w:tcBorders>
              <w:top w:val="outset" w:sz="6" w:space="0" w:color="auto"/>
              <w:bottom w:val="outset" w:sz="6" w:space="0" w:color="auto"/>
              <w:right w:val="outset" w:sz="6" w:space="0" w:color="auto"/>
            </w:tcBorders>
          </w:tcPr>
          <w:p w:rsidR="006D16FF" w:rsidRPr="00FB0524" w:rsidRDefault="006D16FF" w:rsidP="00C842D3">
            <w:pPr>
              <w:rPr>
                <w:color w:val="000000"/>
                <w:sz w:val="28"/>
                <w:szCs w:val="28"/>
              </w:rPr>
            </w:pPr>
            <w:r>
              <w:rPr>
                <w:color w:val="000000"/>
                <w:sz w:val="28"/>
                <w:szCs w:val="28"/>
              </w:rPr>
              <w:t>Lạm phát</w:t>
            </w:r>
            <w:r w:rsidRPr="00FB0524">
              <w:rPr>
                <w:color w:val="000000"/>
                <w:sz w:val="28"/>
                <w:szCs w:val="28"/>
              </w:rPr>
              <w:t xml:space="preserve"> (%)</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-2.4</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+2.0</w:t>
            </w:r>
          </w:p>
        </w:tc>
        <w:tc>
          <w:tcPr>
            <w:tcW w:w="2232" w:type="dxa"/>
            <w:tcBorders>
              <w:top w:val="outset" w:sz="6" w:space="0" w:color="auto"/>
              <w:left w:val="outset" w:sz="6" w:space="0" w:color="auto"/>
              <w:bottom w:val="outset" w:sz="6" w:space="0" w:color="auto"/>
            </w:tcBorders>
          </w:tcPr>
          <w:p w:rsidR="006D16FF" w:rsidRPr="00FB0524" w:rsidRDefault="006D16FF" w:rsidP="00FB0524">
            <w:pPr>
              <w:jc w:val="center"/>
              <w:rPr>
                <w:color w:val="000000"/>
                <w:sz w:val="28"/>
                <w:szCs w:val="28"/>
              </w:rPr>
            </w:pPr>
            <w:r w:rsidRPr="00FB0524">
              <w:rPr>
                <w:color w:val="000000"/>
                <w:sz w:val="28"/>
                <w:szCs w:val="28"/>
              </w:rPr>
              <w:t>+4.0</w:t>
            </w:r>
          </w:p>
        </w:tc>
      </w:tr>
      <w:tr w:rsidR="006D16FF" w:rsidRPr="00FB0524" w:rsidTr="00FB0524">
        <w:trPr>
          <w:tblCellSpacing w:w="0" w:type="dxa"/>
        </w:trPr>
        <w:tc>
          <w:tcPr>
            <w:tcW w:w="5124" w:type="dxa"/>
            <w:tcBorders>
              <w:top w:val="outset" w:sz="6" w:space="0" w:color="auto"/>
              <w:bottom w:val="outset" w:sz="6" w:space="0" w:color="auto"/>
              <w:right w:val="outset" w:sz="6" w:space="0" w:color="auto"/>
            </w:tcBorders>
          </w:tcPr>
          <w:p w:rsidR="006D16FF" w:rsidRPr="00FB0524" w:rsidRDefault="006D16FF" w:rsidP="00C842D3">
            <w:pPr>
              <w:rPr>
                <w:color w:val="000000"/>
                <w:sz w:val="28"/>
                <w:szCs w:val="28"/>
              </w:rPr>
            </w:pPr>
            <w:r>
              <w:rPr>
                <w:color w:val="000000"/>
                <w:sz w:val="28"/>
                <w:szCs w:val="28"/>
              </w:rPr>
              <w:t>Xuất khẩu (tỷ USD</w:t>
            </w:r>
            <w:r w:rsidRPr="00FB0524">
              <w:rPr>
                <w:color w:val="000000"/>
                <w:sz w:val="28"/>
                <w:szCs w:val="28"/>
              </w:rPr>
              <w:t>)</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72,040</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107,021</w:t>
            </w:r>
          </w:p>
        </w:tc>
        <w:tc>
          <w:tcPr>
            <w:tcW w:w="2232" w:type="dxa"/>
            <w:tcBorders>
              <w:top w:val="outset" w:sz="6" w:space="0" w:color="auto"/>
              <w:left w:val="outset" w:sz="6" w:space="0" w:color="auto"/>
              <w:bottom w:val="outset" w:sz="6" w:space="0" w:color="auto"/>
            </w:tcBorders>
          </w:tcPr>
          <w:p w:rsidR="006D16FF" w:rsidRPr="00FB0524" w:rsidRDefault="006D16FF" w:rsidP="00FB0524">
            <w:pPr>
              <w:jc w:val="center"/>
              <w:rPr>
                <w:color w:val="000000"/>
                <w:sz w:val="28"/>
                <w:szCs w:val="28"/>
              </w:rPr>
            </w:pPr>
            <w:r w:rsidRPr="00FB0524">
              <w:rPr>
                <w:color w:val="000000"/>
                <w:sz w:val="28"/>
                <w:szCs w:val="28"/>
              </w:rPr>
              <w:t>118,478</w:t>
            </w:r>
          </w:p>
        </w:tc>
      </w:tr>
      <w:tr w:rsidR="006D16FF" w:rsidRPr="00FB0524" w:rsidTr="00FB0524">
        <w:trPr>
          <w:tblCellSpacing w:w="0" w:type="dxa"/>
        </w:trPr>
        <w:tc>
          <w:tcPr>
            <w:tcW w:w="5124" w:type="dxa"/>
            <w:tcBorders>
              <w:top w:val="outset" w:sz="6" w:space="0" w:color="auto"/>
              <w:bottom w:val="outset" w:sz="6" w:space="0" w:color="auto"/>
              <w:right w:val="outset" w:sz="6" w:space="0" w:color="auto"/>
            </w:tcBorders>
          </w:tcPr>
          <w:p w:rsidR="006D16FF" w:rsidRPr="00FB0524" w:rsidRDefault="006D16FF" w:rsidP="00C842D3">
            <w:pPr>
              <w:rPr>
                <w:color w:val="000000"/>
                <w:sz w:val="28"/>
                <w:szCs w:val="28"/>
              </w:rPr>
            </w:pPr>
            <w:r>
              <w:rPr>
                <w:color w:val="000000"/>
                <w:sz w:val="28"/>
                <w:szCs w:val="28"/>
              </w:rPr>
              <w:t>Mức tăng XK</w:t>
            </w:r>
            <w:r w:rsidRPr="00FB0524">
              <w:rPr>
                <w:color w:val="000000"/>
                <w:sz w:val="28"/>
                <w:szCs w:val="28"/>
              </w:rPr>
              <w:t xml:space="preserve"> (%)</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+49.1</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+48.6</w:t>
            </w:r>
          </w:p>
        </w:tc>
        <w:tc>
          <w:tcPr>
            <w:tcW w:w="2232" w:type="dxa"/>
            <w:tcBorders>
              <w:top w:val="outset" w:sz="6" w:space="0" w:color="auto"/>
              <w:left w:val="outset" w:sz="6" w:space="0" w:color="auto"/>
              <w:bottom w:val="outset" w:sz="6" w:space="0" w:color="auto"/>
            </w:tcBorders>
          </w:tcPr>
          <w:p w:rsidR="006D16FF" w:rsidRPr="00FB0524" w:rsidRDefault="006D16FF" w:rsidP="00FB0524">
            <w:pPr>
              <w:jc w:val="center"/>
              <w:rPr>
                <w:color w:val="000000"/>
                <w:sz w:val="28"/>
                <w:szCs w:val="28"/>
              </w:rPr>
            </w:pPr>
            <w:r w:rsidRPr="00FB0524">
              <w:rPr>
                <w:color w:val="000000"/>
                <w:sz w:val="28"/>
                <w:szCs w:val="28"/>
              </w:rPr>
              <w:t>+10.7</w:t>
            </w:r>
          </w:p>
        </w:tc>
      </w:tr>
      <w:tr w:rsidR="006D16FF" w:rsidRPr="00FB0524" w:rsidTr="00FB0524">
        <w:trPr>
          <w:tblCellSpacing w:w="0" w:type="dxa"/>
        </w:trPr>
        <w:tc>
          <w:tcPr>
            <w:tcW w:w="5124" w:type="dxa"/>
            <w:tcBorders>
              <w:top w:val="outset" w:sz="6" w:space="0" w:color="auto"/>
              <w:bottom w:val="outset" w:sz="6" w:space="0" w:color="auto"/>
              <w:right w:val="outset" w:sz="6" w:space="0" w:color="auto"/>
            </w:tcBorders>
          </w:tcPr>
          <w:p w:rsidR="006D16FF" w:rsidRPr="00FB0524" w:rsidRDefault="006D16FF" w:rsidP="00C842D3">
            <w:pPr>
              <w:rPr>
                <w:color w:val="000000"/>
                <w:sz w:val="28"/>
                <w:szCs w:val="28"/>
              </w:rPr>
            </w:pPr>
            <w:r>
              <w:rPr>
                <w:color w:val="000000"/>
                <w:sz w:val="28"/>
                <w:szCs w:val="28"/>
              </w:rPr>
              <w:t xml:space="preserve">Nhập khẩu </w:t>
            </w:r>
            <w:r w:rsidRPr="00FB0524">
              <w:rPr>
                <w:color w:val="000000"/>
                <w:sz w:val="28"/>
                <w:szCs w:val="28"/>
              </w:rPr>
              <w:t>(</w:t>
            </w:r>
            <w:r>
              <w:rPr>
                <w:color w:val="000000"/>
                <w:sz w:val="28"/>
                <w:szCs w:val="28"/>
              </w:rPr>
              <w:t>tỷ USD</w:t>
            </w:r>
            <w:r w:rsidRPr="00FB0524">
              <w:rPr>
                <w:color w:val="000000"/>
                <w:sz w:val="28"/>
                <w:szCs w:val="28"/>
              </w:rPr>
              <w:t>)</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20,937</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23,078</w:t>
            </w:r>
          </w:p>
        </w:tc>
        <w:tc>
          <w:tcPr>
            <w:tcW w:w="2232" w:type="dxa"/>
            <w:tcBorders>
              <w:top w:val="outset" w:sz="6" w:space="0" w:color="auto"/>
              <w:left w:val="outset" w:sz="6" w:space="0" w:color="auto"/>
              <w:bottom w:val="outset" w:sz="6" w:space="0" w:color="auto"/>
            </w:tcBorders>
          </w:tcPr>
          <w:p w:rsidR="006D16FF" w:rsidRPr="00FB0524" w:rsidRDefault="006D16FF" w:rsidP="00FB0524">
            <w:pPr>
              <w:jc w:val="center"/>
              <w:rPr>
                <w:color w:val="000000"/>
                <w:sz w:val="28"/>
                <w:szCs w:val="28"/>
              </w:rPr>
            </w:pPr>
            <w:r w:rsidRPr="00FB0524">
              <w:rPr>
                <w:color w:val="000000"/>
                <w:sz w:val="28"/>
                <w:szCs w:val="28"/>
              </w:rPr>
              <w:t>22,129</w:t>
            </w:r>
          </w:p>
        </w:tc>
      </w:tr>
      <w:tr w:rsidR="006D16FF" w:rsidRPr="00FB0524" w:rsidTr="00FB0524">
        <w:trPr>
          <w:tblCellSpacing w:w="0" w:type="dxa"/>
        </w:trPr>
        <w:tc>
          <w:tcPr>
            <w:tcW w:w="5124" w:type="dxa"/>
            <w:tcBorders>
              <w:top w:val="outset" w:sz="6" w:space="0" w:color="auto"/>
              <w:bottom w:val="outset" w:sz="6" w:space="0" w:color="auto"/>
              <w:right w:val="outset" w:sz="6" w:space="0" w:color="auto"/>
            </w:tcBorders>
          </w:tcPr>
          <w:p w:rsidR="006D16FF" w:rsidRPr="00FB0524" w:rsidRDefault="006D16FF" w:rsidP="00C842D3">
            <w:pPr>
              <w:rPr>
                <w:color w:val="000000"/>
                <w:sz w:val="28"/>
                <w:szCs w:val="28"/>
              </w:rPr>
            </w:pPr>
            <w:r>
              <w:rPr>
                <w:color w:val="000000"/>
                <w:sz w:val="28"/>
                <w:szCs w:val="28"/>
              </w:rPr>
              <w:t>Mức tăng NK</w:t>
            </w:r>
            <w:r w:rsidRPr="00FB0524">
              <w:rPr>
                <w:color w:val="000000"/>
                <w:sz w:val="28"/>
                <w:szCs w:val="28"/>
              </w:rPr>
              <w:t xml:space="preserve"> (%)</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-6.7</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+10.2</w:t>
            </w:r>
          </w:p>
        </w:tc>
        <w:tc>
          <w:tcPr>
            <w:tcW w:w="2232" w:type="dxa"/>
            <w:tcBorders>
              <w:top w:val="outset" w:sz="6" w:space="0" w:color="auto"/>
              <w:left w:val="outset" w:sz="6" w:space="0" w:color="auto"/>
              <w:bottom w:val="outset" w:sz="6" w:space="0" w:color="auto"/>
            </w:tcBorders>
          </w:tcPr>
          <w:p w:rsidR="006D16FF" w:rsidRPr="00FB0524" w:rsidRDefault="006D16FF" w:rsidP="00FB0524">
            <w:pPr>
              <w:jc w:val="center"/>
              <w:rPr>
                <w:color w:val="000000"/>
                <w:sz w:val="28"/>
                <w:szCs w:val="28"/>
              </w:rPr>
            </w:pPr>
            <w:r w:rsidRPr="00FB0524">
              <w:rPr>
                <w:color w:val="000000"/>
                <w:sz w:val="28"/>
                <w:szCs w:val="28"/>
              </w:rPr>
              <w:t>-4.1</w:t>
            </w:r>
          </w:p>
        </w:tc>
      </w:tr>
      <w:tr w:rsidR="006D16FF" w:rsidRPr="00FB0524" w:rsidTr="00FB0524">
        <w:trPr>
          <w:tblCellSpacing w:w="0" w:type="dxa"/>
        </w:trPr>
        <w:tc>
          <w:tcPr>
            <w:tcW w:w="5124" w:type="dxa"/>
            <w:tcBorders>
              <w:top w:val="outset" w:sz="6" w:space="0" w:color="auto"/>
              <w:bottom w:val="outset" w:sz="6" w:space="0" w:color="auto"/>
              <w:right w:val="outset" w:sz="6" w:space="0" w:color="auto"/>
            </w:tcBorders>
          </w:tcPr>
          <w:p w:rsidR="006D16FF" w:rsidRPr="00FB0524" w:rsidRDefault="006D16FF" w:rsidP="00C842D3">
            <w:pPr>
              <w:rPr>
                <w:color w:val="000000"/>
                <w:sz w:val="28"/>
                <w:szCs w:val="28"/>
              </w:rPr>
            </w:pPr>
            <w:r>
              <w:rPr>
                <w:color w:val="000000"/>
                <w:sz w:val="28"/>
                <w:szCs w:val="28"/>
              </w:rPr>
              <w:t>Tỷ giá (Riyal/</w:t>
            </w:r>
            <w:r w:rsidRPr="00FB0524">
              <w:rPr>
                <w:color w:val="000000"/>
                <w:sz w:val="28"/>
                <w:szCs w:val="28"/>
              </w:rPr>
              <w:t>USD)</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3.64</w:t>
            </w:r>
          </w:p>
        </w:tc>
        <w:tc>
          <w:tcPr>
            <w:tcW w:w="2232" w:type="dxa"/>
            <w:tcBorders>
              <w:top w:val="outset" w:sz="6" w:space="0" w:color="auto"/>
              <w:left w:val="outset" w:sz="6" w:space="0" w:color="auto"/>
              <w:bottom w:val="outset" w:sz="6" w:space="0" w:color="auto"/>
              <w:right w:val="outset" w:sz="6" w:space="0" w:color="auto"/>
            </w:tcBorders>
          </w:tcPr>
          <w:p w:rsidR="006D16FF" w:rsidRPr="00FB0524" w:rsidRDefault="006D16FF" w:rsidP="00FB0524">
            <w:pPr>
              <w:jc w:val="center"/>
              <w:rPr>
                <w:color w:val="000000"/>
                <w:sz w:val="28"/>
                <w:szCs w:val="28"/>
              </w:rPr>
            </w:pPr>
            <w:r w:rsidRPr="00FB0524">
              <w:rPr>
                <w:color w:val="000000"/>
                <w:sz w:val="28"/>
                <w:szCs w:val="28"/>
              </w:rPr>
              <w:t>3.64</w:t>
            </w:r>
          </w:p>
        </w:tc>
        <w:tc>
          <w:tcPr>
            <w:tcW w:w="2232" w:type="dxa"/>
            <w:tcBorders>
              <w:top w:val="outset" w:sz="6" w:space="0" w:color="auto"/>
              <w:left w:val="outset" w:sz="6" w:space="0" w:color="auto"/>
              <w:bottom w:val="outset" w:sz="6" w:space="0" w:color="auto"/>
            </w:tcBorders>
          </w:tcPr>
          <w:p w:rsidR="006D16FF" w:rsidRPr="00FB0524" w:rsidRDefault="006D16FF" w:rsidP="00FB0524">
            <w:pPr>
              <w:jc w:val="center"/>
              <w:rPr>
                <w:color w:val="000000"/>
                <w:sz w:val="28"/>
                <w:szCs w:val="28"/>
              </w:rPr>
            </w:pPr>
            <w:r w:rsidRPr="00FB0524">
              <w:rPr>
                <w:color w:val="000000"/>
                <w:sz w:val="28"/>
                <w:szCs w:val="28"/>
              </w:rPr>
              <w:t>3.64</w:t>
            </w:r>
          </w:p>
        </w:tc>
      </w:tr>
    </w:tbl>
    <w:p w:rsidR="006D16FF" w:rsidRDefault="006D16FF" w:rsidP="00FB0524">
      <w:pPr>
        <w:shd w:val="clear" w:color="auto" w:fill="FFFFFF"/>
        <w:jc w:val="both"/>
        <w:rPr>
          <w:color w:val="000000"/>
          <w:sz w:val="28"/>
          <w:szCs w:val="28"/>
        </w:rPr>
      </w:pPr>
    </w:p>
    <w:p w:rsidR="006D16FF" w:rsidRDefault="006D16FF" w:rsidP="00FB0524">
      <w:pPr>
        <w:shd w:val="clear" w:color="auto" w:fill="FFFFFF"/>
        <w:jc w:val="both"/>
        <w:rPr>
          <w:bCs/>
          <w:color w:val="000000"/>
          <w:sz w:val="28"/>
          <w:szCs w:val="28"/>
        </w:rPr>
      </w:pPr>
      <w:r>
        <w:rPr>
          <w:color w:val="000000"/>
          <w:sz w:val="28"/>
          <w:szCs w:val="28"/>
        </w:rPr>
        <w:t xml:space="preserve">                   </w:t>
      </w:r>
      <w:r w:rsidRPr="00AB2A41">
        <w:rPr>
          <w:i/>
          <w:color w:val="000000"/>
          <w:sz w:val="28"/>
          <w:szCs w:val="28"/>
        </w:rPr>
        <w:t>Nguồn</w:t>
      </w:r>
      <w:r>
        <w:rPr>
          <w:color w:val="000000"/>
          <w:sz w:val="28"/>
          <w:szCs w:val="28"/>
        </w:rPr>
        <w:t xml:space="preserve">: </w:t>
      </w:r>
      <w:r>
        <w:rPr>
          <w:bCs/>
          <w:color w:val="000000"/>
          <w:sz w:val="28"/>
          <w:szCs w:val="28"/>
        </w:rPr>
        <w:t>Ban Tổng thư ký về kế hoạch phát triển Qatar (GSDP)</w:t>
      </w:r>
    </w:p>
    <w:p w:rsidR="006D16FF" w:rsidRDefault="006D16FF" w:rsidP="00FB0524">
      <w:pPr>
        <w:shd w:val="clear" w:color="auto" w:fill="FFFFFF"/>
        <w:jc w:val="both"/>
        <w:rPr>
          <w:bCs/>
          <w:color w:val="000000"/>
          <w:sz w:val="28"/>
          <w:szCs w:val="28"/>
        </w:rPr>
      </w:pPr>
    </w:p>
    <w:p w:rsidR="006D16FF" w:rsidRPr="00C842D3" w:rsidRDefault="006D16FF" w:rsidP="00C61482">
      <w:pPr>
        <w:shd w:val="clear" w:color="auto" w:fill="FFFFFF"/>
        <w:jc w:val="both"/>
        <w:rPr>
          <w:color w:val="000000"/>
          <w:sz w:val="28"/>
          <w:szCs w:val="28"/>
        </w:rPr>
      </w:pPr>
      <w:r>
        <w:rPr>
          <w:bCs/>
          <w:color w:val="000000"/>
          <w:sz w:val="28"/>
          <w:szCs w:val="28"/>
        </w:rPr>
        <w:tab/>
        <w:t xml:space="preserve">Nhìn chung, lạm phát tại Qatar rất thấp. Liên tục đạt xuất siêu. Tuy nhiên, nợ của chính phủ đã tăng từ 8 tỷ USD năm 2007 – 2008 lên 57 tỷ USD năm 2011 – 2012 với tỷ lệ 33,1% GDP. Khoản nợ tăng lên chủ yếu do chi phí xây dựng hạ tầng cơ sở, các biện pháp nhằm tăng thanh khoản cho các ngân hàng trong nước và cải thiện thị trường vốn.  </w:t>
      </w:r>
    </w:p>
    <w:p w:rsidR="006D16FF" w:rsidRDefault="006D16FF" w:rsidP="00FB0524">
      <w:pPr>
        <w:shd w:val="clear" w:color="auto" w:fill="FFFFFF"/>
        <w:jc w:val="both"/>
        <w:rPr>
          <w:bCs/>
          <w:color w:val="000000"/>
          <w:sz w:val="28"/>
          <w:szCs w:val="28"/>
        </w:rPr>
      </w:pPr>
    </w:p>
    <w:p w:rsidR="006D16FF" w:rsidRDefault="006D16FF" w:rsidP="00FB0524">
      <w:pPr>
        <w:shd w:val="clear" w:color="auto" w:fill="FFFFFF"/>
        <w:jc w:val="both"/>
        <w:rPr>
          <w:color w:val="000000"/>
          <w:sz w:val="28"/>
          <w:szCs w:val="28"/>
        </w:rPr>
      </w:pPr>
      <w:r>
        <w:rPr>
          <w:color w:val="000000"/>
          <w:sz w:val="28"/>
          <w:szCs w:val="28"/>
        </w:rPr>
        <w:tab/>
        <w:t>Để phục vụ cho Cúp bóng đá FIFA 2022 tại Qatar và đăng ký Olympics 2024, hàng loạt dự án cơ sở hạ tầng đã đang được xây dựng, bao gồm xây dựng sân vận động, kết nối đường xe lửa và xây dựng đường cao tốc. Chính phủ đề ra mục tiêu xây dựng 90.000 phòng khách sạn vào năm 2022. Tổng cục du lịch Qatar (QTA) dự kiến tỷ trọng thu nhập du lịch trong GDP tăng từ 0,7% năm 2011 lên 6,4% năm 2021.</w:t>
      </w:r>
    </w:p>
    <w:p w:rsidR="006D16FF" w:rsidRDefault="006D16FF" w:rsidP="00FB0524">
      <w:pPr>
        <w:shd w:val="clear" w:color="auto" w:fill="FFFFFF"/>
        <w:jc w:val="both"/>
        <w:rPr>
          <w:color w:val="000000"/>
          <w:sz w:val="28"/>
          <w:szCs w:val="28"/>
        </w:rPr>
      </w:pPr>
    </w:p>
    <w:p w:rsidR="006D16FF" w:rsidRPr="00C842D3" w:rsidRDefault="006D16FF" w:rsidP="00FB0524">
      <w:pPr>
        <w:shd w:val="clear" w:color="auto" w:fill="FFFFFF"/>
        <w:jc w:val="both"/>
        <w:rPr>
          <w:color w:val="000000"/>
          <w:sz w:val="28"/>
          <w:szCs w:val="28"/>
        </w:rPr>
      </w:pPr>
      <w:r>
        <w:rPr>
          <w:color w:val="000000"/>
          <w:sz w:val="28"/>
          <w:szCs w:val="28"/>
        </w:rPr>
        <w:tab/>
        <w:t>Qatar là nước xuất khẩu khí ga hóa lỏng (LNG) lớn nhất thế giới với mức trữ lượng lớn thứ ba thế giới sau Nga và Iran. Sản xuất LNG đã tăng mạnh từ năm 2003, từ 13 triệu tấn hàng năm lên mức 77 triệu tấn vào năm 2011.</w:t>
      </w:r>
    </w:p>
    <w:p w:rsidR="006D16FF" w:rsidRPr="00FB0524" w:rsidRDefault="006D16FF" w:rsidP="00FB0524">
      <w:pPr>
        <w:shd w:val="clear" w:color="auto" w:fill="FFFFFF"/>
        <w:jc w:val="both"/>
        <w:rPr>
          <w:color w:val="000000"/>
          <w:sz w:val="28"/>
          <w:szCs w:val="28"/>
        </w:rPr>
      </w:pPr>
    </w:p>
    <w:p w:rsidR="006D16FF" w:rsidRPr="00C842D3" w:rsidRDefault="006D16FF" w:rsidP="00FB0524">
      <w:pPr>
        <w:shd w:val="clear" w:color="auto" w:fill="FFFFFF"/>
        <w:jc w:val="both"/>
        <w:rPr>
          <w:color w:val="000000"/>
          <w:sz w:val="28"/>
          <w:szCs w:val="28"/>
        </w:rPr>
      </w:pPr>
      <w:r>
        <w:rPr>
          <w:color w:val="000000"/>
          <w:sz w:val="28"/>
          <w:szCs w:val="28"/>
        </w:rPr>
        <w:tab/>
        <w:t>Trong xu hướng khủng hoảng tài chính thế giới hiện nay, Ngân hàng quốc gia Qatar dự kiến sản xuất khí ga sẽ giảm 4,3% vào năm 2013. Trong khi đó, các nước xuất khẩu LNG đang nổi lên như Australia và Bắc Mỹ có tham vọng thâm nhập các thị trường châu Á. Do đó, IMF ước mức tăng giá ga bình quân hàng năm giảm xuống còn 2,2% trong năm 2012, mức rất thấp so với 11,9% của năm 2011.</w:t>
      </w:r>
    </w:p>
    <w:p w:rsidR="006D16FF" w:rsidRPr="00FB0524" w:rsidRDefault="006D16FF" w:rsidP="00FB0524">
      <w:pPr>
        <w:shd w:val="clear" w:color="auto" w:fill="FFFFFF"/>
        <w:jc w:val="both"/>
        <w:rPr>
          <w:color w:val="000000"/>
          <w:sz w:val="28"/>
          <w:szCs w:val="28"/>
        </w:rPr>
      </w:pPr>
    </w:p>
    <w:p w:rsidR="006D16FF" w:rsidRDefault="006D16FF" w:rsidP="00FB0524">
      <w:pPr>
        <w:shd w:val="clear" w:color="auto" w:fill="FFFFFF"/>
        <w:jc w:val="both"/>
        <w:rPr>
          <w:color w:val="000000"/>
          <w:sz w:val="28"/>
          <w:szCs w:val="28"/>
        </w:rPr>
      </w:pPr>
      <w:r>
        <w:rPr>
          <w:color w:val="000000"/>
          <w:sz w:val="28"/>
          <w:szCs w:val="28"/>
        </w:rPr>
        <w:tab/>
        <w:t>Sau khi hoàn thành chương trình đầu tư LNG năm 2011, Qatar đã bắt đầu tập trung vào lĩnh vực năng lượng và chế biến năng lượng. Theo công bố của Bộ năng lượng, Chính phủ sẽ chi 25 tỷ USD để tăng công suất hóa dầu từ 9,2 triệu tấn hiện nay lên 23 triệu tấn vào năm 2020. Chiến lược dài hạn này nhằm đa dạng hóa hơn nữa nền kinh tế và giảm sự phụ thuộc của nền kinh tế vào khí ga tự nhiên.</w:t>
      </w:r>
    </w:p>
    <w:p w:rsidR="006D16FF" w:rsidRPr="00FB0524" w:rsidRDefault="006D16FF" w:rsidP="00FB0524">
      <w:pPr>
        <w:shd w:val="clear" w:color="auto" w:fill="FFFFFF"/>
        <w:jc w:val="both"/>
        <w:rPr>
          <w:color w:val="000000"/>
          <w:sz w:val="28"/>
          <w:szCs w:val="28"/>
        </w:rPr>
      </w:pPr>
    </w:p>
    <w:p w:rsidR="006D16FF" w:rsidRDefault="006D16FF" w:rsidP="00FB0524">
      <w:pPr>
        <w:shd w:val="clear" w:color="auto" w:fill="FFFFFF"/>
        <w:jc w:val="both"/>
        <w:rPr>
          <w:color w:val="000000"/>
          <w:sz w:val="28"/>
          <w:szCs w:val="28"/>
        </w:rPr>
      </w:pPr>
      <w:r>
        <w:rPr>
          <w:color w:val="000000"/>
          <w:sz w:val="28"/>
          <w:szCs w:val="28"/>
        </w:rPr>
        <w:tab/>
        <w:t>Nước này sử dụng thặng dư thương mại từ dầu và khí tự nhiên để thiết lập Cơ quan đầu tư Qatar (QIA). Tháng 4/2012, QIA đã có số vốn trên 100 tỷ USD để dầu tư vào các công ty hàng đầu trong nhiều lĩnh vực như khách sạn, cơ sở hạ tầng nhằm nâng cao tiêu chuẩn sống của người dân và đa dạng hóa nền kinh tế.</w:t>
      </w:r>
    </w:p>
    <w:p w:rsidR="006D16FF" w:rsidRPr="00FB0524" w:rsidRDefault="006D16FF" w:rsidP="00FB0524">
      <w:pPr>
        <w:shd w:val="clear" w:color="auto" w:fill="FFFFFF"/>
        <w:jc w:val="both"/>
        <w:rPr>
          <w:color w:val="000000"/>
          <w:sz w:val="28"/>
          <w:szCs w:val="28"/>
        </w:rPr>
      </w:pPr>
    </w:p>
    <w:p w:rsidR="006D16FF" w:rsidRPr="00F636CB" w:rsidRDefault="006D16FF" w:rsidP="00FB0524">
      <w:pPr>
        <w:shd w:val="clear" w:color="auto" w:fill="FFFFFF"/>
        <w:jc w:val="both"/>
        <w:rPr>
          <w:b/>
          <w:color w:val="000000"/>
          <w:sz w:val="28"/>
          <w:szCs w:val="28"/>
        </w:rPr>
      </w:pPr>
      <w:r>
        <w:rPr>
          <w:b/>
          <w:color w:val="000000"/>
          <w:sz w:val="28"/>
          <w:szCs w:val="28"/>
        </w:rPr>
        <w:tab/>
      </w:r>
      <w:r w:rsidRPr="00F636CB">
        <w:rPr>
          <w:b/>
          <w:color w:val="000000"/>
          <w:sz w:val="28"/>
          <w:szCs w:val="28"/>
        </w:rPr>
        <w:t>3. Chính sách thương mại</w:t>
      </w:r>
    </w:p>
    <w:p w:rsidR="006D16FF" w:rsidRPr="00FB0524" w:rsidRDefault="006D16FF" w:rsidP="00FB0524">
      <w:pPr>
        <w:shd w:val="clear" w:color="auto" w:fill="FFFFFF"/>
        <w:jc w:val="both"/>
        <w:rPr>
          <w:color w:val="000000"/>
          <w:sz w:val="28"/>
          <w:szCs w:val="28"/>
        </w:rPr>
      </w:pPr>
    </w:p>
    <w:p w:rsidR="006D16FF" w:rsidRPr="00C842D3" w:rsidRDefault="006D16FF" w:rsidP="00FB0524">
      <w:pPr>
        <w:shd w:val="clear" w:color="auto" w:fill="FFFFFF"/>
        <w:jc w:val="both"/>
        <w:rPr>
          <w:color w:val="000000"/>
          <w:sz w:val="28"/>
          <w:szCs w:val="28"/>
        </w:rPr>
      </w:pPr>
      <w:r>
        <w:rPr>
          <w:color w:val="000000"/>
          <w:sz w:val="28"/>
          <w:szCs w:val="28"/>
        </w:rPr>
        <w:tab/>
        <w:t>Qatar là thành viên của Tổ chức thương mại thế giới (WTO) và duy trì chế độ thương mại tự do. Tuy nhiên, theo quy định hiện hành, những người không phải là người Qatar không được tham gia các hoạt động phân phối tại nước này. Các nhà nhập khẩu phải là người Qatar, phải đăng ký với Cơ quan đăng ký nhập khẩu và được Phòng thương mại và công nghiệp Qatar (QCCI) phê duyệt.</w:t>
      </w:r>
    </w:p>
    <w:p w:rsidR="006D16FF" w:rsidRPr="00FB0524" w:rsidRDefault="006D16FF" w:rsidP="00FB0524">
      <w:pPr>
        <w:shd w:val="clear" w:color="auto" w:fill="FFFFFF"/>
        <w:jc w:val="both"/>
        <w:rPr>
          <w:color w:val="000000"/>
          <w:sz w:val="28"/>
          <w:szCs w:val="28"/>
        </w:rPr>
      </w:pPr>
    </w:p>
    <w:p w:rsidR="006D16FF" w:rsidRDefault="006D16FF" w:rsidP="00FB0524">
      <w:pPr>
        <w:shd w:val="clear" w:color="auto" w:fill="FFFFFF"/>
        <w:jc w:val="both"/>
        <w:rPr>
          <w:color w:val="000000"/>
          <w:sz w:val="28"/>
          <w:szCs w:val="28"/>
        </w:rPr>
      </w:pPr>
      <w:r>
        <w:rPr>
          <w:color w:val="000000"/>
          <w:sz w:val="28"/>
          <w:szCs w:val="28"/>
        </w:rPr>
        <w:tab/>
        <w:t xml:space="preserve">Qatar có quan hệ chặt chẽ với các nước thành viên Hội đồng hợp tác vùng Vịnh (GCC gồm 6 nước Ả Rập Xê Út, Kuwait, Oman, U.A.E., Bahrain và Qatar). </w:t>
      </w:r>
    </w:p>
    <w:p w:rsidR="006D16FF" w:rsidRDefault="006D16FF" w:rsidP="00FB0524">
      <w:pPr>
        <w:shd w:val="clear" w:color="auto" w:fill="FFFFFF"/>
        <w:jc w:val="both"/>
        <w:rPr>
          <w:color w:val="000000"/>
          <w:sz w:val="28"/>
          <w:szCs w:val="28"/>
        </w:rPr>
      </w:pPr>
    </w:p>
    <w:p w:rsidR="006D16FF" w:rsidRDefault="006D16FF" w:rsidP="00FB0524">
      <w:pPr>
        <w:shd w:val="clear" w:color="auto" w:fill="FFFFFF"/>
        <w:jc w:val="both"/>
        <w:rPr>
          <w:color w:val="000000"/>
          <w:sz w:val="28"/>
          <w:szCs w:val="28"/>
        </w:rPr>
      </w:pPr>
      <w:r>
        <w:rPr>
          <w:color w:val="000000"/>
          <w:sz w:val="28"/>
          <w:szCs w:val="28"/>
        </w:rPr>
        <w:tab/>
        <w:t>Tháng 11/1999, GCC đồng ý thiết lập một liên minh hải quan, có hiệu lực từ tháng 1/2003, áp dụng suất thuế 0% cho hàng hóa buôn bán nội khối GCC. Theo thỏa thuận này, hàng hóa nhập khẩu vào GCC được tự do vận chuyển và lưu thông trong khối mà không phải trả thêm khoản thuế nào.</w:t>
      </w:r>
    </w:p>
    <w:p w:rsidR="006D16FF" w:rsidRDefault="006D16FF" w:rsidP="00FB0524">
      <w:pPr>
        <w:shd w:val="clear" w:color="auto" w:fill="FFFFFF"/>
        <w:jc w:val="both"/>
        <w:rPr>
          <w:color w:val="000000"/>
          <w:sz w:val="28"/>
          <w:szCs w:val="28"/>
        </w:rPr>
      </w:pPr>
    </w:p>
    <w:p w:rsidR="006D16FF" w:rsidRDefault="006D16FF" w:rsidP="00FB0524">
      <w:pPr>
        <w:shd w:val="clear" w:color="auto" w:fill="FFFFFF"/>
        <w:jc w:val="both"/>
        <w:rPr>
          <w:color w:val="000000"/>
          <w:sz w:val="28"/>
          <w:szCs w:val="28"/>
        </w:rPr>
      </w:pPr>
      <w:r>
        <w:rPr>
          <w:color w:val="000000"/>
          <w:sz w:val="28"/>
          <w:szCs w:val="28"/>
        </w:rPr>
        <w:tab/>
        <w:t>Thuế suất tiêu chuẩn cho hàng nhập khẩu là 5%, phù hợp với Liên minh thuế quan GCC. Nghĩa là, thuế nhập khẩu Qatar áp dụng cho các nước, trong đó có Việt Nam, là 5%. Trong trường hợp giá ghi trong hợp đồng là giá FOB, giá tính thuế sẽ là giá FOB cộng thêm 15% của giá FOB.</w:t>
      </w:r>
    </w:p>
    <w:p w:rsidR="006D16FF" w:rsidRPr="00FB0524" w:rsidRDefault="006D16FF" w:rsidP="00FB0524">
      <w:pPr>
        <w:shd w:val="clear" w:color="auto" w:fill="FFFFFF"/>
        <w:jc w:val="both"/>
        <w:rPr>
          <w:color w:val="000000"/>
          <w:sz w:val="28"/>
          <w:szCs w:val="28"/>
        </w:rPr>
      </w:pPr>
    </w:p>
    <w:p w:rsidR="006D16FF" w:rsidRPr="00C842D3" w:rsidRDefault="006D16FF" w:rsidP="00FB0524">
      <w:pPr>
        <w:shd w:val="clear" w:color="auto" w:fill="FFFFFF"/>
        <w:jc w:val="both"/>
        <w:rPr>
          <w:color w:val="000000"/>
          <w:sz w:val="28"/>
          <w:szCs w:val="28"/>
        </w:rPr>
      </w:pPr>
      <w:r>
        <w:rPr>
          <w:color w:val="000000"/>
          <w:sz w:val="28"/>
          <w:szCs w:val="28"/>
        </w:rPr>
        <w:tab/>
        <w:t>Theo quy định của WTO, Qatar áp thuế suất bình quân cho nông sản là 8% và phi nông sản là 4,6% từ năm 2009. Môt số nhà sản xuất trong nước có thể được bảo hộ cao hơn. Ví dụ, Qatar áp thuế cao kỷ lục với nhạc cụ là 15%, sắt và xi măng 20%, urea 30% và thuốc lá 100%. Thịt lợn và sản phẩm thịt lợn bị cấm nhập khẩu vào Qatar.</w:t>
      </w:r>
    </w:p>
    <w:p w:rsidR="006D16FF" w:rsidRPr="00FB0524" w:rsidRDefault="006D16FF" w:rsidP="00FB0524">
      <w:pPr>
        <w:shd w:val="clear" w:color="auto" w:fill="FFFFFF"/>
        <w:jc w:val="both"/>
        <w:rPr>
          <w:color w:val="000000"/>
          <w:sz w:val="28"/>
          <w:szCs w:val="28"/>
        </w:rPr>
      </w:pPr>
    </w:p>
    <w:p w:rsidR="006D16FF" w:rsidRPr="00C842D3" w:rsidRDefault="006D16FF" w:rsidP="00FB0524">
      <w:pPr>
        <w:shd w:val="clear" w:color="auto" w:fill="FFFFFF"/>
        <w:jc w:val="both"/>
        <w:rPr>
          <w:color w:val="000000"/>
          <w:sz w:val="28"/>
          <w:szCs w:val="28"/>
        </w:rPr>
      </w:pPr>
      <w:r>
        <w:rPr>
          <w:color w:val="000000"/>
          <w:sz w:val="28"/>
          <w:szCs w:val="28"/>
        </w:rPr>
        <w:tab/>
        <w:t>GCC đã phê duyệt miễn thuế cho khoảng 400 mặt hàng, gồm thực phẩm cơ bản (động vật sống, quả tươi và rau, hải sản, lúa mỳ, bột mỳ, gạo, lương thực hạt khác, gia vị, hạt giống cây trồng và sữa), hàng nhập khẩu của các cơ quan ngoại giao và lãnh sự, hàng phục vụ quốc phòng và an ninh, hàng không dân dụng, hàng cá nhân và các hàng đã sử dụng, hành lý đi theo hành khách, quà tặng, hàng từ thiện, tàu và các phương tiện vận tải chở khách và thuyền khác và hàng phục vụ các dự án công nghiệp.</w:t>
      </w:r>
    </w:p>
    <w:p w:rsidR="006D16FF" w:rsidRPr="00FB0524" w:rsidRDefault="006D16FF" w:rsidP="00FB0524">
      <w:pPr>
        <w:shd w:val="clear" w:color="auto" w:fill="FFFFFF"/>
        <w:jc w:val="both"/>
        <w:rPr>
          <w:color w:val="000000"/>
          <w:sz w:val="28"/>
          <w:szCs w:val="28"/>
        </w:rPr>
      </w:pPr>
    </w:p>
    <w:p w:rsidR="006D16FF" w:rsidRPr="00C842D3" w:rsidRDefault="006D16FF" w:rsidP="00FB0524">
      <w:pPr>
        <w:shd w:val="clear" w:color="auto" w:fill="FFFFFF"/>
        <w:jc w:val="both"/>
        <w:rPr>
          <w:color w:val="000000"/>
          <w:sz w:val="28"/>
          <w:szCs w:val="28"/>
        </w:rPr>
      </w:pPr>
      <w:r>
        <w:rPr>
          <w:color w:val="000000"/>
          <w:sz w:val="28"/>
          <w:szCs w:val="28"/>
        </w:rPr>
        <w:tab/>
        <w:t>Theo phê duyệt của Tổng cục trưởng hải quan, một số mặt hàng có thể tạm thời được phép nhập khẩu nhưng chưa thu thuế. Đó là các máy móc thiết bị hạng nặng để thực hiện các dự án, các bán thành phẩm và sử dụng trong các triển lãm và các sự kiện quảng cáo, trưng bày, máy và thiết bị nhập khẩu để sửa chữa, các container và vật tư cho container, súc vật để nuôi và các mẫu thương mại của sản phẩm trong thời gian 6 tháng và có thể gia hạn thêm 6 tháng nữa.</w:t>
      </w:r>
    </w:p>
    <w:p w:rsidR="006D16FF" w:rsidRPr="00FB0524" w:rsidRDefault="006D16FF" w:rsidP="00FB0524">
      <w:pPr>
        <w:shd w:val="clear" w:color="auto" w:fill="FFFFFF"/>
        <w:jc w:val="both"/>
        <w:rPr>
          <w:color w:val="000000"/>
          <w:sz w:val="28"/>
          <w:szCs w:val="28"/>
        </w:rPr>
      </w:pPr>
    </w:p>
    <w:p w:rsidR="006D16FF" w:rsidRDefault="006D16FF" w:rsidP="00FB0524">
      <w:pPr>
        <w:shd w:val="clear" w:color="auto" w:fill="FFFFFF"/>
        <w:jc w:val="both"/>
        <w:rPr>
          <w:color w:val="000000"/>
          <w:sz w:val="28"/>
          <w:szCs w:val="28"/>
        </w:rPr>
      </w:pPr>
      <w:r>
        <w:rPr>
          <w:color w:val="000000"/>
          <w:sz w:val="28"/>
          <w:szCs w:val="28"/>
        </w:rPr>
        <w:tab/>
        <w:t>2 Khu thương mại tự do, Trung tâm thương mại Qatar (QFC) và Công viên khoa học và công nghệ Qatar (QSTF) đã được thành lập và được ưu đãi về thuế. Qatar cũng sẽ phát triển thêm các khu thương mại tự do để thu hút đầu tư trong các lĩnh vực công nghiệp, nông nghiệp và du lịch.</w:t>
      </w:r>
    </w:p>
    <w:p w:rsidR="006D16FF" w:rsidRPr="00FB0524" w:rsidRDefault="006D16FF" w:rsidP="00FB0524">
      <w:pPr>
        <w:shd w:val="clear" w:color="auto" w:fill="FFFFFF"/>
        <w:jc w:val="both"/>
        <w:rPr>
          <w:color w:val="000000"/>
          <w:sz w:val="28"/>
          <w:szCs w:val="28"/>
        </w:rPr>
      </w:pPr>
    </w:p>
    <w:p w:rsidR="006D16FF" w:rsidRDefault="006D16FF" w:rsidP="00FB0524">
      <w:pPr>
        <w:shd w:val="clear" w:color="auto" w:fill="FFFFFF"/>
        <w:jc w:val="both"/>
        <w:rPr>
          <w:color w:val="000000"/>
          <w:sz w:val="28"/>
          <w:szCs w:val="28"/>
        </w:rPr>
      </w:pPr>
      <w:r>
        <w:rPr>
          <w:color w:val="000000"/>
          <w:sz w:val="28"/>
          <w:szCs w:val="28"/>
        </w:rPr>
        <w:tab/>
        <w:t>Riyal, đồng tiền của Qatar được neo với đồng đô la Mỹ với tỷ giá 3,64 Riyal/USD. Qatar, Ả Rập Xê Út, Bahrain và Kuwait đã đưa Liên minh tiền tệ vùng Vịnh vào hoạt động, một bước tiến lớn để nhất thể hóa tiền tệ vùng Vịnh. Tuy nhiên, con đường này chưa thể đến đích sớm được vì khủng hoảng khu vực đồng Euro, nền kinh tế thế giới suy thoái và các nền kinh tế Mỹ và Nhật Bản cũng chưa hồi phuc./.</w:t>
      </w:r>
    </w:p>
    <w:p w:rsidR="006D16FF" w:rsidRDefault="006D16FF" w:rsidP="00FB0524">
      <w:pPr>
        <w:shd w:val="clear" w:color="auto" w:fill="FFFFFF"/>
        <w:jc w:val="both"/>
        <w:rPr>
          <w:color w:val="000000"/>
          <w:sz w:val="28"/>
          <w:szCs w:val="28"/>
        </w:rPr>
      </w:pPr>
    </w:p>
    <w:p w:rsidR="006D16FF" w:rsidRDefault="006D16FF" w:rsidP="00FB0524">
      <w:pPr>
        <w:shd w:val="clear" w:color="auto" w:fill="FFFFFF"/>
        <w:jc w:val="both"/>
        <w:rPr>
          <w:color w:val="000000"/>
          <w:sz w:val="28"/>
          <w:szCs w:val="28"/>
        </w:rPr>
      </w:pPr>
    </w:p>
    <w:p w:rsidR="006D16FF" w:rsidRPr="00AB2A41" w:rsidRDefault="006D16FF" w:rsidP="00AB2A41">
      <w:pPr>
        <w:shd w:val="clear" w:color="auto" w:fill="FFFFFF"/>
        <w:jc w:val="both"/>
        <w:rPr>
          <w:b/>
          <w:i/>
          <w:color w:val="000000"/>
          <w:sz w:val="28"/>
          <w:szCs w:val="28"/>
        </w:rPr>
      </w:pPr>
      <w:r>
        <w:rPr>
          <w:b/>
          <w:i/>
          <w:color w:val="000000"/>
          <w:sz w:val="28"/>
          <w:szCs w:val="28"/>
        </w:rPr>
        <w:tab/>
      </w:r>
      <w:r w:rsidRPr="00AB2A41">
        <w:rPr>
          <w:b/>
          <w:i/>
          <w:color w:val="000000"/>
          <w:sz w:val="28"/>
          <w:szCs w:val="28"/>
        </w:rPr>
        <w:t>Thương vụ Việt Nam tại Thổ Nhĩ Kỳ</w:t>
      </w:r>
    </w:p>
    <w:sectPr w:rsidR="006D16FF" w:rsidRPr="00AB2A41" w:rsidSect="00AB2A41">
      <w:footerReference w:type="default" r:id="rId7"/>
      <w:pgSz w:w="11906" w:h="16838"/>
      <w:pgMar w:top="1134" w:right="1418" w:bottom="1134"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16FF" w:rsidRDefault="006D16FF" w:rsidP="00AB2A41">
      <w:r>
        <w:separator/>
      </w:r>
    </w:p>
  </w:endnote>
  <w:endnote w:type="continuationSeparator" w:id="0">
    <w:p w:rsidR="006D16FF" w:rsidRDefault="006D16FF" w:rsidP="00AB2A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A00002EF" w:usb1="4000004B" w:usb2="00000000" w:usb3="00000000" w:csb0="0000009F" w:csb1="00000000"/>
  </w:font>
  <w:font w:name="Calibri">
    <w:panose1 w:val="020F0502020204030204"/>
    <w:charset w:val="A2"/>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6FF" w:rsidRDefault="006D16FF">
    <w:pPr>
      <w:pStyle w:val="Footer"/>
      <w:jc w:val="right"/>
    </w:pPr>
    <w:fldSimple w:instr=" PAGE   \* MERGEFORMAT ">
      <w:r>
        <w:rPr>
          <w:noProof/>
        </w:rPr>
        <w:t>1</w:t>
      </w:r>
    </w:fldSimple>
  </w:p>
  <w:p w:rsidR="006D16FF" w:rsidRDefault="006D16F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16FF" w:rsidRDefault="006D16FF" w:rsidP="00AB2A41">
      <w:r>
        <w:separator/>
      </w:r>
    </w:p>
  </w:footnote>
  <w:footnote w:type="continuationSeparator" w:id="0">
    <w:p w:rsidR="006D16FF" w:rsidRDefault="006D16FF" w:rsidP="00AB2A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nsid w:val="5510028C"/>
    <w:multiLevelType w:val="hybridMultilevel"/>
    <w:tmpl w:val="0276B5A8"/>
    <w:lvl w:ilvl="0" w:tplc="041F000F">
      <w:start w:val="1"/>
      <w:numFmt w:val="decimal"/>
      <w:lvlText w:val="%1."/>
      <w:lvlJc w:val="left"/>
      <w:pPr>
        <w:ind w:left="720" w:hanging="360"/>
      </w:pPr>
      <w:rPr>
        <w:rFonts w:cs="Times New Roman" w:hint="default"/>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
    <w:nsid w:val="57BC0AF4"/>
    <w:multiLevelType w:val="multilevel"/>
    <w:tmpl w:val="ADA2A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0524"/>
    <w:rsid w:val="000271E6"/>
    <w:rsid w:val="00044898"/>
    <w:rsid w:val="00091C39"/>
    <w:rsid w:val="000D70AA"/>
    <w:rsid w:val="00167354"/>
    <w:rsid w:val="001817AF"/>
    <w:rsid w:val="00182BB9"/>
    <w:rsid w:val="001A32AC"/>
    <w:rsid w:val="001C4DF2"/>
    <w:rsid w:val="0033382E"/>
    <w:rsid w:val="003A6D94"/>
    <w:rsid w:val="0042222A"/>
    <w:rsid w:val="00590383"/>
    <w:rsid w:val="00642EB2"/>
    <w:rsid w:val="006A3B60"/>
    <w:rsid w:val="006D16FF"/>
    <w:rsid w:val="007173BE"/>
    <w:rsid w:val="00904740"/>
    <w:rsid w:val="00A822A1"/>
    <w:rsid w:val="00AB2A41"/>
    <w:rsid w:val="00AC3CDC"/>
    <w:rsid w:val="00AE5217"/>
    <w:rsid w:val="00AF00EC"/>
    <w:rsid w:val="00B27A0C"/>
    <w:rsid w:val="00BC20FE"/>
    <w:rsid w:val="00C2356A"/>
    <w:rsid w:val="00C61482"/>
    <w:rsid w:val="00C842D3"/>
    <w:rsid w:val="00CD3CEE"/>
    <w:rsid w:val="00D20509"/>
    <w:rsid w:val="00D64684"/>
    <w:rsid w:val="00E45E55"/>
    <w:rsid w:val="00E7105C"/>
    <w:rsid w:val="00F636CB"/>
    <w:rsid w:val="00FB0524"/>
    <w:rsid w:val="00FB2C15"/>
    <w:rsid w:val="00FC1E1B"/>
  </w:rsids>
  <m:mathPr>
    <m:mathFont m:val="Cambria Math"/>
    <m:brkBin m:val="before"/>
    <m:brkBinSub m:val="--"/>
    <m:smallFrac m:val="off"/>
    <m:dispDef/>
    <m:lMargin m:val="0"/>
    <m:rMargin m:val="0"/>
    <m:defJc m:val="centerGroup"/>
    <m:wrapIndent m:val="1440"/>
    <m:intLim m:val="subSup"/>
    <m:naryLim m:val="undOvr"/>
  </m:mathPr>
  <w:uiCompat97To2003/>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83"/>
    <w:rPr>
      <w:sz w:val="24"/>
      <w:szCs w:val="24"/>
    </w:rPr>
  </w:style>
  <w:style w:type="paragraph" w:styleId="Heading2">
    <w:name w:val="heading 2"/>
    <w:basedOn w:val="Normal"/>
    <w:link w:val="Heading2Char"/>
    <w:uiPriority w:val="99"/>
    <w:qFormat/>
    <w:rsid w:val="00FB0524"/>
    <w:pPr>
      <w:spacing w:before="100" w:beforeAutospacing="1" w:after="100" w:afterAutospacing="1"/>
      <w:outlineLvl w:val="1"/>
    </w:pPr>
  </w:style>
  <w:style w:type="paragraph" w:styleId="Heading3">
    <w:name w:val="heading 3"/>
    <w:basedOn w:val="Normal"/>
    <w:link w:val="Heading3Char"/>
    <w:uiPriority w:val="99"/>
    <w:qFormat/>
    <w:rsid w:val="00FB0524"/>
    <w:pPr>
      <w:spacing w:before="100" w:beforeAutospacing="1" w:after="100" w:afterAutospacing="1"/>
      <w:outlineLvl w:val="2"/>
    </w:pPr>
    <w:rPr>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FB0524"/>
    <w:rPr>
      <w:rFonts w:cs="Times New Roman"/>
      <w:sz w:val="24"/>
      <w:szCs w:val="24"/>
    </w:rPr>
  </w:style>
  <w:style w:type="character" w:customStyle="1" w:styleId="Heading3Char">
    <w:name w:val="Heading 3 Char"/>
    <w:basedOn w:val="DefaultParagraphFont"/>
    <w:link w:val="Heading3"/>
    <w:uiPriority w:val="99"/>
    <w:locked/>
    <w:rsid w:val="00FB0524"/>
    <w:rPr>
      <w:rFonts w:cs="Times New Roman"/>
      <w:sz w:val="22"/>
      <w:szCs w:val="22"/>
    </w:rPr>
  </w:style>
  <w:style w:type="character" w:styleId="Emphasis">
    <w:name w:val="Emphasis"/>
    <w:basedOn w:val="DefaultParagraphFont"/>
    <w:uiPriority w:val="99"/>
    <w:qFormat/>
    <w:rsid w:val="00FB0524"/>
    <w:rPr>
      <w:rFonts w:cs="Times New Roman"/>
      <w:i/>
      <w:iCs/>
    </w:rPr>
  </w:style>
  <w:style w:type="character" w:styleId="Strong">
    <w:name w:val="Strong"/>
    <w:basedOn w:val="DefaultParagraphFont"/>
    <w:uiPriority w:val="99"/>
    <w:qFormat/>
    <w:rsid w:val="00FB0524"/>
    <w:rPr>
      <w:rFonts w:cs="Times New Roman"/>
      <w:b/>
      <w:bCs/>
    </w:rPr>
  </w:style>
  <w:style w:type="paragraph" w:styleId="NormalWeb">
    <w:name w:val="Normal (Web)"/>
    <w:basedOn w:val="Normal"/>
    <w:uiPriority w:val="99"/>
    <w:rsid w:val="00FB0524"/>
    <w:pPr>
      <w:spacing w:before="100" w:beforeAutospacing="1" w:after="100" w:afterAutospacing="1" w:line="384" w:lineRule="atLeast"/>
    </w:pPr>
    <w:rPr>
      <w:rFonts w:ascii="Verdana" w:hAnsi="Verdana"/>
      <w:sz w:val="14"/>
      <w:szCs w:val="14"/>
    </w:rPr>
  </w:style>
  <w:style w:type="paragraph" w:customStyle="1" w:styleId="contentblackmiddle2">
    <w:name w:val="content_black_middle2"/>
    <w:basedOn w:val="Normal"/>
    <w:uiPriority w:val="99"/>
    <w:rsid w:val="00FB0524"/>
    <w:pPr>
      <w:spacing w:before="100" w:beforeAutospacing="1" w:after="100" w:afterAutospacing="1"/>
    </w:pPr>
    <w:rPr>
      <w:rFonts w:ascii="Verdana" w:hAnsi="Verdana"/>
      <w:color w:val="000000"/>
      <w:sz w:val="13"/>
      <w:szCs w:val="13"/>
    </w:rPr>
  </w:style>
  <w:style w:type="paragraph" w:styleId="ListParagraph">
    <w:name w:val="List Paragraph"/>
    <w:basedOn w:val="Normal"/>
    <w:uiPriority w:val="99"/>
    <w:qFormat/>
    <w:rsid w:val="000271E6"/>
    <w:pPr>
      <w:ind w:left="720"/>
      <w:contextualSpacing/>
    </w:pPr>
  </w:style>
  <w:style w:type="paragraph" w:styleId="Header">
    <w:name w:val="header"/>
    <w:basedOn w:val="Normal"/>
    <w:link w:val="HeaderChar"/>
    <w:uiPriority w:val="99"/>
    <w:rsid w:val="00AB2A41"/>
    <w:pPr>
      <w:tabs>
        <w:tab w:val="center" w:pos="4536"/>
        <w:tab w:val="right" w:pos="9072"/>
      </w:tabs>
    </w:pPr>
  </w:style>
  <w:style w:type="character" w:customStyle="1" w:styleId="HeaderChar">
    <w:name w:val="Header Char"/>
    <w:basedOn w:val="DefaultParagraphFont"/>
    <w:link w:val="Header"/>
    <w:uiPriority w:val="99"/>
    <w:locked/>
    <w:rsid w:val="00AB2A41"/>
    <w:rPr>
      <w:rFonts w:cs="Times New Roman"/>
      <w:sz w:val="24"/>
      <w:szCs w:val="24"/>
    </w:rPr>
  </w:style>
  <w:style w:type="paragraph" w:styleId="Footer">
    <w:name w:val="footer"/>
    <w:basedOn w:val="Normal"/>
    <w:link w:val="FooterChar"/>
    <w:uiPriority w:val="99"/>
    <w:rsid w:val="00AB2A41"/>
    <w:pPr>
      <w:tabs>
        <w:tab w:val="center" w:pos="4536"/>
        <w:tab w:val="right" w:pos="9072"/>
      </w:tabs>
    </w:pPr>
  </w:style>
  <w:style w:type="character" w:customStyle="1" w:styleId="FooterChar">
    <w:name w:val="Footer Char"/>
    <w:basedOn w:val="DefaultParagraphFont"/>
    <w:link w:val="Footer"/>
    <w:uiPriority w:val="99"/>
    <w:locked/>
    <w:rsid w:val="00AB2A41"/>
    <w:rPr>
      <w:rFonts w:cs="Times New Roman"/>
      <w:sz w:val="24"/>
      <w:szCs w:val="24"/>
    </w:rPr>
  </w:style>
</w:styles>
</file>

<file path=word/webSettings.xml><?xml version="1.0" encoding="utf-8"?>
<w:webSettings xmlns:r="http://schemas.openxmlformats.org/officeDocument/2006/relationships" xmlns:w="http://schemas.openxmlformats.org/wordprocessingml/2006/main">
  <w:divs>
    <w:div w:id="1592274088">
      <w:marLeft w:val="0"/>
      <w:marRight w:val="0"/>
      <w:marTop w:val="0"/>
      <w:marBottom w:val="0"/>
      <w:divBdr>
        <w:top w:val="none" w:sz="0" w:space="0" w:color="auto"/>
        <w:left w:val="none" w:sz="0" w:space="0" w:color="auto"/>
        <w:bottom w:val="none" w:sz="0" w:space="0" w:color="auto"/>
        <w:right w:val="none" w:sz="0" w:space="0" w:color="auto"/>
      </w:divBdr>
      <w:divsChild>
        <w:div w:id="1592274089">
          <w:marLeft w:val="0"/>
          <w:marRight w:val="0"/>
          <w:marTop w:val="0"/>
          <w:marBottom w:val="0"/>
          <w:divBdr>
            <w:top w:val="none" w:sz="0" w:space="0" w:color="auto"/>
            <w:left w:val="none" w:sz="0" w:space="0" w:color="auto"/>
            <w:bottom w:val="none" w:sz="0" w:space="0" w:color="auto"/>
            <w:right w:val="none" w:sz="0" w:space="0" w:color="auto"/>
          </w:divBdr>
          <w:divsChild>
            <w:div w:id="1592274087">
              <w:marLeft w:val="0"/>
              <w:marRight w:val="0"/>
              <w:marTop w:val="0"/>
              <w:marBottom w:val="120"/>
              <w:divBdr>
                <w:top w:val="none" w:sz="0" w:space="0" w:color="auto"/>
                <w:left w:val="none" w:sz="0" w:space="0" w:color="auto"/>
                <w:bottom w:val="none" w:sz="0" w:space="0" w:color="auto"/>
                <w:right w:val="none" w:sz="0" w:space="0" w:color="auto"/>
              </w:divBdr>
              <w:divsChild>
                <w:div w:id="159227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930</Words>
  <Characters>5307</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Kinh tế Qatar năm 2012</dc:title>
  <dc:subject/>
  <dc:creator>vietnam</dc:creator>
  <cp:keywords/>
  <dc:description/>
  <cp:lastModifiedBy>User</cp:lastModifiedBy>
  <cp:revision>2</cp:revision>
  <dcterms:created xsi:type="dcterms:W3CDTF">2013-01-28T09:29:00Z</dcterms:created>
  <dcterms:modified xsi:type="dcterms:W3CDTF">2013-01-28T09:29:00Z</dcterms:modified>
</cp:coreProperties>
</file>