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CC99A" w14:textId="77777777" w:rsidR="004602FD" w:rsidRPr="004602FD" w:rsidRDefault="004602FD" w:rsidP="004602FD">
      <w:pPr>
        <w:jc w:val="center"/>
        <w:outlineLvl w:val="0"/>
        <w:rPr>
          <w:rFonts w:ascii="Times New Roman" w:eastAsia="Times New Roman" w:hAnsi="Times New Roman" w:cs="Times New Roman"/>
          <w:b/>
          <w:bCs/>
          <w:color w:val="000000" w:themeColor="text1"/>
          <w:kern w:val="36"/>
        </w:rPr>
      </w:pPr>
      <w:r w:rsidRPr="004602FD">
        <w:rPr>
          <w:rFonts w:ascii="Times New Roman" w:eastAsia="Times New Roman" w:hAnsi="Times New Roman" w:cs="Times New Roman"/>
          <w:b/>
          <w:bCs/>
          <w:color w:val="000000" w:themeColor="text1"/>
          <w:kern w:val="36"/>
        </w:rPr>
        <w:t>Một số quy định của Thổ Nhĩ Kỳ đối với sản phẩm lương thực, thực phẩm</w:t>
      </w:r>
    </w:p>
    <w:p w14:paraId="6CAF1001" w14:textId="77777777" w:rsidR="004602FD" w:rsidRPr="004602FD" w:rsidRDefault="004602FD" w:rsidP="004602FD">
      <w:pPr>
        <w:jc w:val="both"/>
        <w:rPr>
          <w:rFonts w:ascii="Times New Roman" w:eastAsia="Times New Roman" w:hAnsi="Times New Roman" w:cs="Times New Roman"/>
          <w:b/>
          <w:bCs/>
          <w:color w:val="000000" w:themeColor="text1"/>
        </w:rPr>
      </w:pPr>
      <w:r w:rsidRPr="004602FD">
        <w:rPr>
          <w:rFonts w:ascii="Times New Roman" w:eastAsia="Times New Roman" w:hAnsi="Times New Roman" w:cs="Times New Roman"/>
          <w:b/>
          <w:bCs/>
          <w:color w:val="000000" w:themeColor="text1"/>
        </w:rPr>
        <w:t>Dưới đây là một số quy định của Thổ Nhĩ Kỳ đối với hàng lương thực, thực phẩm, doanh nghiệp xuất khẩu sang Thổ Nhĩ Kỳ cần chú ý để áp dụng.</w:t>
      </w:r>
    </w:p>
    <w:p w14:paraId="1305E855" w14:textId="77777777" w:rsidR="004602FD" w:rsidRPr="004602FD" w:rsidRDefault="004602FD" w:rsidP="004602FD">
      <w:pPr>
        <w:jc w:val="both"/>
        <w:rPr>
          <w:rFonts w:ascii="Times New Roman" w:eastAsia="Times New Roman" w:hAnsi="Times New Roman" w:cs="Times New Roman"/>
          <w:color w:val="000000" w:themeColor="text1"/>
        </w:rPr>
      </w:pPr>
      <w:r w:rsidRPr="004602FD">
        <w:rPr>
          <w:rFonts w:ascii="Times New Roman" w:eastAsia="Times New Roman" w:hAnsi="Times New Roman" w:cs="Times New Roman"/>
          <w:b/>
          <w:bCs/>
          <w:color w:val="000000" w:themeColor="text1"/>
        </w:rPr>
        <w:t>Quy định đóng gói bao bì</w:t>
      </w:r>
    </w:p>
    <w:p w14:paraId="64AEC2FE" w14:textId="77777777" w:rsidR="004602FD" w:rsidRPr="004602FD" w:rsidRDefault="004602FD" w:rsidP="004602FD">
      <w:pPr>
        <w:jc w:val="both"/>
        <w:rPr>
          <w:rFonts w:ascii="Times New Roman" w:eastAsia="Times New Roman" w:hAnsi="Times New Roman" w:cs="Times New Roman"/>
          <w:color w:val="000000" w:themeColor="text1"/>
        </w:rPr>
      </w:pPr>
      <w:r w:rsidRPr="004602FD">
        <w:rPr>
          <w:rFonts w:ascii="Times New Roman" w:eastAsia="Times New Roman" w:hAnsi="Times New Roman" w:cs="Times New Roman"/>
          <w:color w:val="000000" w:themeColor="text1"/>
        </w:rPr>
        <w:t> </w:t>
      </w:r>
    </w:p>
    <w:p w14:paraId="1F7B7A5E" w14:textId="77777777" w:rsidR="004602FD" w:rsidRPr="004602FD" w:rsidRDefault="004602FD" w:rsidP="004602FD">
      <w:pPr>
        <w:jc w:val="both"/>
        <w:rPr>
          <w:rFonts w:ascii="Times New Roman" w:eastAsia="Times New Roman" w:hAnsi="Times New Roman" w:cs="Times New Roman"/>
          <w:color w:val="000000" w:themeColor="text1"/>
        </w:rPr>
      </w:pPr>
      <w:r w:rsidRPr="004602FD">
        <w:rPr>
          <w:rFonts w:ascii="Times New Roman" w:eastAsia="Times New Roman" w:hAnsi="Times New Roman" w:cs="Times New Roman"/>
          <w:color w:val="000000" w:themeColor="text1"/>
        </w:rPr>
        <w:t>          Thổ Nhĩ Kỳ có 9 tiêu chuẩn khác nhau đối với nguyên vật liệu đóng gói phẩm cấp lương thực, thực phẩm như chất liệu giấy, kính thủy tinh, kim loại và nhựa (các chai, lọ PVC, PET). Kích cỡ và loại hình đóng gói đối với các sản phẩm lương thực, thực phẩm nói chung phải linh hoạt. Quy định ban hành ngày 22/4/2002 hạn chế việc gây bẩn, mất vệ sinh bởi nguyên nhân đóng gói bằng chất sành, sứ và hạn chế việc rò rỉ chất chì đối với lương thực xuống còn 0,8mg/dm2.         </w:t>
      </w:r>
    </w:p>
    <w:p w14:paraId="5F1237CC" w14:textId="77777777" w:rsidR="004602FD" w:rsidRPr="004602FD" w:rsidRDefault="004602FD" w:rsidP="004602FD">
      <w:pPr>
        <w:jc w:val="both"/>
        <w:rPr>
          <w:rFonts w:ascii="Times New Roman" w:eastAsia="Times New Roman" w:hAnsi="Times New Roman" w:cs="Times New Roman"/>
          <w:color w:val="000000" w:themeColor="text1"/>
        </w:rPr>
      </w:pPr>
      <w:r w:rsidRPr="004602FD">
        <w:rPr>
          <w:rFonts w:ascii="Times New Roman" w:eastAsia="Times New Roman" w:hAnsi="Times New Roman" w:cs="Times New Roman"/>
          <w:b/>
          <w:bCs/>
          <w:color w:val="000000" w:themeColor="text1"/>
        </w:rPr>
        <w:t>Quy định về chất phụ gia đối với sản phẩm lương thực, thực  phẩm</w:t>
      </w:r>
    </w:p>
    <w:p w14:paraId="58F36A2B" w14:textId="77777777" w:rsidR="004602FD" w:rsidRPr="004602FD" w:rsidRDefault="004602FD" w:rsidP="004602FD">
      <w:pPr>
        <w:jc w:val="both"/>
        <w:rPr>
          <w:rFonts w:ascii="Times New Roman" w:eastAsia="Times New Roman" w:hAnsi="Times New Roman" w:cs="Times New Roman"/>
          <w:color w:val="000000" w:themeColor="text1"/>
        </w:rPr>
      </w:pPr>
      <w:r w:rsidRPr="004602FD">
        <w:rPr>
          <w:rFonts w:ascii="Times New Roman" w:eastAsia="Times New Roman" w:hAnsi="Times New Roman" w:cs="Times New Roman"/>
          <w:color w:val="000000" w:themeColor="text1"/>
        </w:rPr>
        <w:t>          Bộ Luật lương thực, thực phẩm của Thổ Nhĩ Kỳ quy định số lượng tối đa chất phụ gia được phép pha trộn trong các sản phẩm lương thực, thực phẩm cũng như trong những điều kiện nào thì không được sử dụng chất phụ gia. Ví dụ, cấm không được sử dụng chất gây ngọt trong các sản phẩm sữa trẻ em và đồ ăn của trẻ em trong thời hạn từ 0 - 3 năm. Trong Bộ luật này phần nói về quy định sử dụng chất phụ gia trong sản phẩm rất chi tiết và phù hợp với các quy định của EU. Nó đề cập đến mã hiệu FEMA và COE đối với các chất phụ gia khi có thể áp dụng. Mối bận tâm của các nhà xuất khẩu các sản phẩm chế biến là tất cả các hương vị (có thể là độc quyền) phải được liệt kê cụ thể khi xin đăng ký sản phẩm.</w:t>
      </w:r>
    </w:p>
    <w:p w14:paraId="0D3CE464" w14:textId="77777777" w:rsidR="004602FD" w:rsidRPr="004602FD" w:rsidRDefault="004602FD" w:rsidP="004602FD">
      <w:pPr>
        <w:jc w:val="both"/>
        <w:rPr>
          <w:rFonts w:ascii="Times New Roman" w:eastAsia="Times New Roman" w:hAnsi="Times New Roman" w:cs="Times New Roman"/>
          <w:color w:val="000000" w:themeColor="text1"/>
        </w:rPr>
      </w:pPr>
      <w:r w:rsidRPr="004602FD">
        <w:rPr>
          <w:rFonts w:ascii="Times New Roman" w:eastAsia="Times New Roman" w:hAnsi="Times New Roman" w:cs="Times New Roman"/>
          <w:color w:val="000000" w:themeColor="text1"/>
        </w:rPr>
        <w:t>          Trong nỗ lực tạo chính sách của mình phù hợp với chính sách của EU, Chính phủ Thổ Nhĩ Kỳ đã ra thông báo cấm việc pha trộn một số chất kháng sinh nhất định vào các sản phẩm thực phẩm chế biến từ động vật.</w:t>
      </w:r>
    </w:p>
    <w:p w14:paraId="741291F6" w14:textId="77777777" w:rsidR="004602FD" w:rsidRPr="004602FD" w:rsidRDefault="004602FD" w:rsidP="004602FD">
      <w:pPr>
        <w:jc w:val="both"/>
        <w:rPr>
          <w:rFonts w:ascii="Times New Roman" w:eastAsia="Times New Roman" w:hAnsi="Times New Roman" w:cs="Times New Roman"/>
          <w:color w:val="000000" w:themeColor="text1"/>
        </w:rPr>
      </w:pPr>
      <w:r w:rsidRPr="004602FD">
        <w:rPr>
          <w:rFonts w:ascii="Times New Roman" w:eastAsia="Times New Roman" w:hAnsi="Times New Roman" w:cs="Times New Roman"/>
          <w:color w:val="000000" w:themeColor="text1"/>
        </w:rPr>
        <w:t>          </w:t>
      </w:r>
      <w:r w:rsidRPr="004602FD">
        <w:rPr>
          <w:rFonts w:ascii="Times New Roman" w:eastAsia="Times New Roman" w:hAnsi="Times New Roman" w:cs="Times New Roman"/>
          <w:b/>
          <w:bCs/>
          <w:color w:val="000000" w:themeColor="text1"/>
        </w:rPr>
        <w:t>Thuốc diệt trừ sâu bọ và các chất gây ô nhiễm khác</w:t>
      </w:r>
    </w:p>
    <w:p w14:paraId="07768F12" w14:textId="77777777" w:rsidR="004602FD" w:rsidRPr="004602FD" w:rsidRDefault="004602FD" w:rsidP="004602FD">
      <w:pPr>
        <w:jc w:val="both"/>
        <w:rPr>
          <w:rFonts w:ascii="Times New Roman" w:eastAsia="Times New Roman" w:hAnsi="Times New Roman" w:cs="Times New Roman"/>
          <w:color w:val="000000" w:themeColor="text1"/>
        </w:rPr>
      </w:pPr>
      <w:r w:rsidRPr="004602FD">
        <w:rPr>
          <w:rFonts w:ascii="Times New Roman" w:eastAsia="Times New Roman" w:hAnsi="Times New Roman" w:cs="Times New Roman"/>
          <w:color w:val="000000" w:themeColor="text1"/>
        </w:rPr>
        <w:t>          Bộ Luật lương thực, thực phẩm của Thổ Nhĩ Kỳ quy định mức tối đa được phép sử dụng các chất thuốc diệt trừ sâu bọ và chất hoóc môn trong các sản phẩm lương thực, thực phẩm (danh mục các chất thuốc diệt trừ sâu bọ và chất hoóc môn được phép sử dụng dài khoảng 12 trang trong phần 7 và 8 của Bộ Luật lương thực, thực phẩm). Bộ Lương thực, Nông nghiệp và Gia súc là cơ quan chịu trách nhiệm quản lý và ban hành các quy định trong lĩnh vực này. Tất cả các thuốc diệt trừ sâu bọ phải được đăng ký với Bộ Lương thực, Nông nghiệp và Gia súc.</w:t>
      </w:r>
    </w:p>
    <w:p w14:paraId="6A5B4D06" w14:textId="77777777" w:rsidR="004602FD" w:rsidRPr="004602FD" w:rsidRDefault="004602FD" w:rsidP="004602FD">
      <w:pPr>
        <w:jc w:val="both"/>
        <w:rPr>
          <w:rFonts w:ascii="Times New Roman" w:eastAsia="Times New Roman" w:hAnsi="Times New Roman" w:cs="Times New Roman"/>
          <w:color w:val="000000" w:themeColor="text1"/>
        </w:rPr>
      </w:pPr>
      <w:r w:rsidRPr="004602FD">
        <w:rPr>
          <w:rFonts w:ascii="Times New Roman" w:eastAsia="Times New Roman" w:hAnsi="Times New Roman" w:cs="Times New Roman"/>
          <w:color w:val="000000" w:themeColor="text1"/>
        </w:rPr>
        <w:t>          </w:t>
      </w:r>
      <w:r w:rsidRPr="004602FD">
        <w:rPr>
          <w:rFonts w:ascii="Times New Roman" w:eastAsia="Times New Roman" w:hAnsi="Times New Roman" w:cs="Times New Roman"/>
          <w:b/>
          <w:bCs/>
          <w:color w:val="000000" w:themeColor="text1"/>
        </w:rPr>
        <w:t>Các quy định và yêu cầu khác</w:t>
      </w:r>
    </w:p>
    <w:p w14:paraId="4BA6D4D1" w14:textId="77777777" w:rsidR="004602FD" w:rsidRPr="004602FD" w:rsidRDefault="004602FD" w:rsidP="004602FD">
      <w:pPr>
        <w:jc w:val="both"/>
        <w:rPr>
          <w:rFonts w:ascii="Times New Roman" w:eastAsia="Times New Roman" w:hAnsi="Times New Roman" w:cs="Times New Roman"/>
          <w:color w:val="000000" w:themeColor="text1"/>
        </w:rPr>
      </w:pPr>
      <w:r w:rsidRPr="004602FD">
        <w:rPr>
          <w:rFonts w:ascii="Times New Roman" w:eastAsia="Times New Roman" w:hAnsi="Times New Roman" w:cs="Times New Roman"/>
          <w:color w:val="000000" w:themeColor="text1"/>
        </w:rPr>
        <w:t>          Người nhập khẩu phải chịu trách nhiệm đăng ký cho mỗi sản phẩm. Thủ tục này có thể mất 2 tuần. Việc kiểm tra trong phòng thí nghiệp là bắt buộc đối với tất cả các sản phẩm đóng gói và các mẫu sản phẩm.</w:t>
      </w:r>
    </w:p>
    <w:p w14:paraId="5A3F3682" w14:textId="77777777" w:rsidR="004602FD" w:rsidRPr="004602FD" w:rsidRDefault="004602FD" w:rsidP="004602FD">
      <w:pPr>
        <w:jc w:val="both"/>
        <w:rPr>
          <w:rFonts w:ascii="Times New Roman" w:eastAsia="Times New Roman" w:hAnsi="Times New Roman" w:cs="Times New Roman"/>
          <w:color w:val="000000" w:themeColor="text1"/>
        </w:rPr>
      </w:pPr>
      <w:r w:rsidRPr="004602FD">
        <w:rPr>
          <w:rFonts w:ascii="Times New Roman" w:eastAsia="Times New Roman" w:hAnsi="Times New Roman" w:cs="Times New Roman"/>
          <w:color w:val="000000" w:themeColor="text1"/>
        </w:rPr>
        <w:t>          Về chế độ kiểm soát lương thực, thực phẩm: Bộ Bộ Lương thực, Nông nghiệp và Gia súc là cơ quan chịu trách nhiệm kiểm tra chất lượng các sản phẩm nhập khẩu và sản phẩm sản xuất trong nước. Bộ Y tế chịu trách nhiệm kiểm soát và phê duyệt cho các nhà máy chế biến lương thực, thực phẩm về điều kiện vệ sinh trước khi các nhà máy này đi vào hoạt động sản xuất. Bộ Y tế và chính quyền địa phương cũng giám sát các sản phẩm khi đưa ra tiêu thụ. Các nhà máy chế biến lương thực, thực phẩm theo quy định sẽ bị kiểm tra 2 lần/năm và đối với các chợ/siêu thị là không dưới 3 lần/năm (chủ yếu là các chợ/siêu thị lớn). Việc kiểm tra thường là đột xuất.</w:t>
      </w:r>
    </w:p>
    <w:p w14:paraId="461AF83C" w14:textId="77777777" w:rsidR="004602FD" w:rsidRPr="004602FD" w:rsidRDefault="004602FD" w:rsidP="004602FD">
      <w:pPr>
        <w:jc w:val="both"/>
        <w:rPr>
          <w:rFonts w:ascii="Times New Roman" w:eastAsia="Times New Roman" w:hAnsi="Times New Roman" w:cs="Times New Roman"/>
          <w:color w:val="000000" w:themeColor="text1"/>
        </w:rPr>
      </w:pPr>
      <w:r w:rsidRPr="004602FD">
        <w:rPr>
          <w:rFonts w:ascii="Times New Roman" w:eastAsia="Times New Roman" w:hAnsi="Times New Roman" w:cs="Times New Roman"/>
          <w:color w:val="000000" w:themeColor="text1"/>
        </w:rPr>
        <w:t>          Thổ Nhĩ Kỳ cũng duy trì các tiêu chuẩn phức tạp đối với các sản phẩm nhập khẩu là gia súc và thịt. Đồng thời yêu cầu Bộ Lương thực, Nông nghiệp và Gia súc phải kiểm tra, giám sát các cơ sở giết mổ gia súc, gia cầm có yếu tố nước ngoài với chi phí do người nhập khẩu trong nước phải chịu.</w:t>
      </w:r>
    </w:p>
    <w:p w14:paraId="13B1FBED" w14:textId="77777777" w:rsidR="004602FD" w:rsidRPr="004602FD" w:rsidRDefault="004602FD" w:rsidP="004602FD">
      <w:pPr>
        <w:jc w:val="both"/>
        <w:rPr>
          <w:rFonts w:ascii="Times New Roman" w:eastAsia="Times New Roman" w:hAnsi="Times New Roman" w:cs="Times New Roman"/>
          <w:color w:val="000000" w:themeColor="text1"/>
        </w:rPr>
      </w:pPr>
      <w:r w:rsidRPr="004602FD">
        <w:rPr>
          <w:rFonts w:ascii="Times New Roman" w:eastAsia="Times New Roman" w:hAnsi="Times New Roman" w:cs="Times New Roman"/>
          <w:color w:val="000000" w:themeColor="text1"/>
        </w:rPr>
        <w:t xml:space="preserve">          Các công ty phải đăng ký thương hiệu với Viện Thương hiệu và Bản quyền Thổ Nhĩ Kỳ. Sau khi kiểm tra và giám sát bước đầu, thương hiệu sẽ được công bố trên công báo về thương hiệu </w:t>
      </w:r>
      <w:r w:rsidRPr="004602FD">
        <w:rPr>
          <w:rFonts w:ascii="Times New Roman" w:eastAsia="Times New Roman" w:hAnsi="Times New Roman" w:cs="Times New Roman"/>
          <w:color w:val="000000" w:themeColor="text1"/>
        </w:rPr>
        <w:lastRenderedPageBreak/>
        <w:t>trong 3 tháng. Nếu trong thời gian này không có sự phản đối nào thì thương hiệu chính thức được đăng ký. Thời gian để thực hiện quy trình này khoảng 4 tháng./.</w:t>
      </w:r>
    </w:p>
    <w:p w14:paraId="2E1A7CAE" w14:textId="77777777" w:rsidR="004602FD" w:rsidRPr="004602FD" w:rsidRDefault="004602FD" w:rsidP="004602FD">
      <w:pPr>
        <w:jc w:val="both"/>
        <w:rPr>
          <w:rFonts w:ascii="Times New Roman" w:eastAsia="Times New Roman" w:hAnsi="Times New Roman" w:cs="Times New Roman"/>
          <w:color w:val="000000" w:themeColor="text1"/>
        </w:rPr>
      </w:pPr>
      <w:r w:rsidRPr="004602FD">
        <w:rPr>
          <w:rFonts w:ascii="Times New Roman" w:eastAsia="Times New Roman" w:hAnsi="Times New Roman" w:cs="Times New Roman"/>
          <w:color w:val="000000" w:themeColor="text1"/>
        </w:rPr>
        <w:t> </w:t>
      </w:r>
    </w:p>
    <w:p w14:paraId="492DE0EC" w14:textId="77777777" w:rsidR="004602FD" w:rsidRPr="004602FD" w:rsidRDefault="004602FD" w:rsidP="004602FD">
      <w:pPr>
        <w:jc w:val="both"/>
        <w:rPr>
          <w:rFonts w:ascii="Times New Roman" w:eastAsia="Times New Roman" w:hAnsi="Times New Roman" w:cs="Times New Roman"/>
          <w:color w:val="000000" w:themeColor="text1"/>
        </w:rPr>
      </w:pPr>
      <w:r w:rsidRPr="004602FD">
        <w:rPr>
          <w:rFonts w:ascii="Times New Roman" w:eastAsia="Times New Roman" w:hAnsi="Times New Roman" w:cs="Times New Roman"/>
          <w:color w:val="000000" w:themeColor="text1"/>
        </w:rPr>
        <w:t>          </w:t>
      </w:r>
      <w:r w:rsidRPr="004602FD">
        <w:rPr>
          <w:rFonts w:ascii="Times New Roman" w:eastAsia="Times New Roman" w:hAnsi="Times New Roman" w:cs="Times New Roman"/>
          <w:i/>
          <w:iCs/>
          <w:color w:val="000000" w:themeColor="text1"/>
        </w:rPr>
        <w:t>Trần Ngọc Hà</w:t>
      </w:r>
    </w:p>
    <w:p w14:paraId="001AA30B" w14:textId="77777777" w:rsidR="004602FD" w:rsidRPr="004602FD" w:rsidRDefault="004602FD" w:rsidP="004602FD">
      <w:pPr>
        <w:jc w:val="both"/>
        <w:rPr>
          <w:rFonts w:ascii="Times New Roman" w:eastAsia="Times New Roman" w:hAnsi="Times New Roman" w:cs="Times New Roman"/>
          <w:color w:val="000000" w:themeColor="text1"/>
        </w:rPr>
      </w:pPr>
    </w:p>
    <w:p w14:paraId="4D4DD7DB" w14:textId="77777777" w:rsidR="00DD12EB" w:rsidRPr="004602FD" w:rsidRDefault="00DD12EB" w:rsidP="004602FD">
      <w:pPr>
        <w:jc w:val="both"/>
        <w:rPr>
          <w:rFonts w:ascii="Times New Roman" w:hAnsi="Times New Roman" w:cs="Times New Roman"/>
          <w:color w:val="000000" w:themeColor="text1"/>
        </w:rPr>
      </w:pPr>
    </w:p>
    <w:sectPr w:rsidR="00DD12EB" w:rsidRPr="004602F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2FD"/>
    <w:rsid w:val="004602FD"/>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55137E0C"/>
  <w15:chartTrackingRefBased/>
  <w15:docId w15:val="{3338F9A7-3E8B-E54F-B158-91DB8BB7A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602FD"/>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2FD"/>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4602FD"/>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4602FD"/>
    <w:rPr>
      <w:b/>
      <w:bCs/>
    </w:rPr>
  </w:style>
  <w:style w:type="character" w:styleId="Emphasis">
    <w:name w:val="Emphasis"/>
    <w:basedOn w:val="DefaultParagraphFont"/>
    <w:uiPriority w:val="20"/>
    <w:qFormat/>
    <w:rsid w:val="004602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621184">
      <w:bodyDiv w:val="1"/>
      <w:marLeft w:val="0"/>
      <w:marRight w:val="0"/>
      <w:marTop w:val="0"/>
      <w:marBottom w:val="0"/>
      <w:divBdr>
        <w:top w:val="none" w:sz="0" w:space="0" w:color="auto"/>
        <w:left w:val="none" w:sz="0" w:space="0" w:color="auto"/>
        <w:bottom w:val="none" w:sz="0" w:space="0" w:color="auto"/>
        <w:right w:val="none" w:sz="0" w:space="0" w:color="auto"/>
      </w:divBdr>
      <w:divsChild>
        <w:div w:id="133567541">
          <w:marLeft w:val="0"/>
          <w:marRight w:val="0"/>
          <w:marTop w:val="0"/>
          <w:marBottom w:val="225"/>
          <w:divBdr>
            <w:top w:val="none" w:sz="0" w:space="0" w:color="auto"/>
            <w:left w:val="none" w:sz="0" w:space="0" w:color="auto"/>
            <w:bottom w:val="none" w:sz="0" w:space="0" w:color="auto"/>
            <w:right w:val="none" w:sz="0" w:space="0" w:color="auto"/>
          </w:divBdr>
        </w:div>
        <w:div w:id="838085022">
          <w:marLeft w:val="0"/>
          <w:marRight w:val="0"/>
          <w:marTop w:val="0"/>
          <w:marBottom w:val="150"/>
          <w:divBdr>
            <w:top w:val="none" w:sz="0" w:space="0" w:color="auto"/>
            <w:left w:val="none" w:sz="0" w:space="0" w:color="auto"/>
            <w:bottom w:val="none" w:sz="0" w:space="0" w:color="auto"/>
            <w:right w:val="none" w:sz="0" w:space="0" w:color="auto"/>
          </w:divBdr>
        </w:div>
        <w:div w:id="85599709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579</Words>
  <Characters>3303</Characters>
  <Application>Microsoft Office Word</Application>
  <DocSecurity>0</DocSecurity>
  <Lines>27</Lines>
  <Paragraphs>7</Paragraphs>
  <ScaleCrop>false</ScaleCrop>
  <Company/>
  <LinksUpToDate>false</LinksUpToDate>
  <CharactersWithSpaces>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2022-08-18T09:55:00Z</dcterms:created>
  <dcterms:modified xsi:type="dcterms:W3CDTF">2022-08-18T09:55:00Z</dcterms:modified>
</cp:coreProperties>
</file>