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046" w:rsidRPr="005E1046" w:rsidRDefault="005E1046" w:rsidP="005E1046">
      <w:pPr>
        <w:spacing w:after="150" w:line="240" w:lineRule="auto"/>
        <w:rPr>
          <w:rFonts w:ascii="Arial" w:eastAsia="Times New Roman" w:hAnsi="Arial" w:cs="Arial"/>
          <w:b/>
          <w:bCs/>
          <w:color w:val="494949"/>
          <w:sz w:val="18"/>
          <w:szCs w:val="18"/>
        </w:rPr>
      </w:pPr>
      <w:r w:rsidRPr="005E1046">
        <w:rPr>
          <w:rFonts w:ascii="Arial" w:eastAsia="Times New Roman" w:hAnsi="Arial" w:cs="Arial"/>
          <w:b/>
          <w:bCs/>
          <w:color w:val="494949"/>
          <w:sz w:val="18"/>
          <w:szCs w:val="18"/>
        </w:rPr>
        <w:t> Thương Vụ Việt nam tại Kuwait xin giới thiệu luật đầu tư vốn trực tiếp nước ngoài vào Kuwait ( Luật số 8/2001, bản dịch từ nguyên bản tiếng Anh chưa công chứng chính thức ) dưới đây để quí bạn đọc có quan tâm tham khảo :  </w:t>
      </w:r>
    </w:p>
    <w:p w:rsidR="005E1046" w:rsidRPr="005E1046" w:rsidRDefault="005E1046" w:rsidP="005E1046">
      <w:pPr>
        <w:spacing w:after="0" w:line="240" w:lineRule="auto"/>
        <w:jc w:val="both"/>
        <w:rPr>
          <w:rFonts w:ascii="Arial" w:eastAsia="Times New Roman" w:hAnsi="Arial" w:cs="Arial"/>
          <w:color w:val="494949"/>
          <w:sz w:val="18"/>
          <w:szCs w:val="18"/>
        </w:rPr>
      </w:pPr>
      <w:r w:rsidRPr="005E1046">
        <w:rPr>
          <w:rFonts w:ascii="Arial" w:eastAsia="Times New Roman" w:hAnsi="Arial" w:cs="Arial"/>
          <w:color w:val="494949"/>
          <w:sz w:val="18"/>
          <w:szCs w:val="18"/>
        </w:rPr>
        <w:t> </w:t>
      </w:r>
    </w:p>
    <w:p w:rsidR="005E1046" w:rsidRPr="005E1046" w:rsidRDefault="005E1046" w:rsidP="005E1046">
      <w:pPr>
        <w:spacing w:after="0" w:line="240" w:lineRule="auto"/>
        <w:rPr>
          <w:rFonts w:ascii="Arial" w:eastAsia="Times New Roman" w:hAnsi="Arial" w:cs="Arial"/>
          <w:color w:val="494949"/>
          <w:sz w:val="18"/>
          <w:szCs w:val="18"/>
        </w:rPr>
      </w:pPr>
      <w:r w:rsidRPr="005E1046">
        <w:rPr>
          <w:rFonts w:ascii="Arial" w:eastAsia="Times New Roman" w:hAnsi="Arial" w:cs="Arial"/>
          <w:b/>
          <w:bCs/>
          <w:color w:val="494949"/>
          <w:sz w:val="18"/>
          <w:szCs w:val="18"/>
        </w:rPr>
        <w:t>Luật số 8 / 2001</w:t>
      </w:r>
      <w:r w:rsidRPr="005E1046">
        <w:rPr>
          <w:rFonts w:ascii="Arial" w:eastAsia="Times New Roman" w:hAnsi="Arial" w:cs="Arial"/>
          <w:b/>
          <w:bCs/>
          <w:color w:val="494949"/>
          <w:sz w:val="18"/>
          <w:szCs w:val="18"/>
        </w:rPr>
        <w:br/>
        <w:t>Quy định đầu tư vốntrực tiếp nước ngoài</w:t>
      </w:r>
      <w:r w:rsidRPr="005E1046">
        <w:rPr>
          <w:rFonts w:ascii="Arial" w:eastAsia="Times New Roman" w:hAnsi="Arial" w:cs="Arial"/>
          <w:b/>
          <w:bCs/>
          <w:color w:val="494949"/>
          <w:sz w:val="18"/>
          <w:szCs w:val="18"/>
        </w:rPr>
        <w:br/>
        <w:t>Trong Nhà nước Kuwait</w:t>
      </w:r>
      <w:r w:rsidRPr="005E1046">
        <w:rPr>
          <w:rFonts w:ascii="Arial" w:eastAsia="Times New Roman" w:hAnsi="Arial" w:cs="Arial"/>
          <w:b/>
          <w:bCs/>
          <w:color w:val="494949"/>
          <w:sz w:val="18"/>
          <w:szCs w:val="18"/>
        </w:rPr>
        <w:br/>
      </w:r>
      <w:r w:rsidRPr="005E1046">
        <w:rPr>
          <w:rFonts w:ascii="Arial" w:eastAsia="Times New Roman" w:hAnsi="Arial" w:cs="Arial"/>
          <w:color w:val="494949"/>
          <w:sz w:val="18"/>
          <w:szCs w:val="18"/>
        </w:rPr>
        <w:br/>
        <w:t>Có xem xétđến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 Hiến pháp,</w:t>
      </w:r>
      <w:r w:rsidRPr="005E1046">
        <w:rPr>
          <w:rFonts w:ascii="Arial" w:eastAsia="Times New Roman" w:hAnsi="Arial" w:cs="Arial"/>
          <w:color w:val="494949"/>
          <w:sz w:val="18"/>
          <w:szCs w:val="18"/>
        </w:rPr>
        <w:br/>
        <w:t>- Nghị định số 3 / 1955, liên quan đến thuế thu nhập Kuwait, và các Luật sửa đổi quyết,</w:t>
      </w:r>
      <w:r w:rsidRPr="005E1046">
        <w:rPr>
          <w:rFonts w:ascii="Arial" w:eastAsia="Times New Roman" w:hAnsi="Arial" w:cs="Arial"/>
          <w:color w:val="494949"/>
          <w:sz w:val="18"/>
          <w:szCs w:val="18"/>
        </w:rPr>
        <w:br/>
        <w:t>- Kuwait Luật Thương mạiKuwaitban hành năm 1959,</w:t>
      </w:r>
      <w:r w:rsidRPr="005E1046">
        <w:rPr>
          <w:rFonts w:ascii="Arial" w:eastAsia="Times New Roman" w:hAnsi="Arial" w:cs="Arial"/>
          <w:color w:val="494949"/>
          <w:sz w:val="18"/>
          <w:szCs w:val="18"/>
        </w:rPr>
        <w:br/>
        <w:t>- Luật số 15/1960 về việc ban hành Đạo luật công ty thương mại và các luật sửa đổi,</w:t>
      </w:r>
      <w:r w:rsidRPr="005E1046">
        <w:rPr>
          <w:rFonts w:ascii="Arial" w:eastAsia="Times New Roman" w:hAnsi="Arial" w:cs="Arial"/>
          <w:color w:val="494949"/>
          <w:sz w:val="18"/>
          <w:szCs w:val="18"/>
        </w:rPr>
        <w:br/>
        <w:t>- Luật số 16/1960 về việc ban hành Bộ luật hình sự và các Luật sửa đổi  liên quan,</w:t>
      </w:r>
      <w:r w:rsidRPr="005E1046">
        <w:rPr>
          <w:rFonts w:ascii="Arial" w:eastAsia="Times New Roman" w:hAnsi="Arial" w:cs="Arial"/>
          <w:color w:val="494949"/>
          <w:sz w:val="18"/>
          <w:szCs w:val="18"/>
        </w:rPr>
        <w:br/>
        <w:t>- Luật số 4 / 1962 liên quan đến sáng chế, bản vẽ công nghiệp và các mô hình đã được sửa đổi của pháp luật số 3 / 2001,</w:t>
      </w:r>
      <w:r w:rsidRPr="005E1046">
        <w:rPr>
          <w:rFonts w:ascii="Arial" w:eastAsia="Times New Roman" w:hAnsi="Arial" w:cs="Arial"/>
          <w:color w:val="494949"/>
          <w:sz w:val="18"/>
          <w:szCs w:val="18"/>
        </w:rPr>
        <w:br/>
        <w:t>- Luật số 33/1964 về tước đoạt quyền sở hữu và quyền sở hữutạm thời cho lợi ích công cộng,</w:t>
      </w:r>
      <w:r w:rsidRPr="005E1046">
        <w:rPr>
          <w:rFonts w:ascii="Arial" w:eastAsia="Times New Roman" w:hAnsi="Arial" w:cs="Arial"/>
          <w:color w:val="494949"/>
          <w:sz w:val="18"/>
          <w:szCs w:val="18"/>
        </w:rPr>
        <w:br/>
        <w:t>- Luật số 36/1964 Quy định các cơ quan thương mại và luật sửa đổi ,</w:t>
      </w:r>
      <w:r w:rsidRPr="005E1046">
        <w:rPr>
          <w:rFonts w:ascii="Arial" w:eastAsia="Times New Roman" w:hAnsi="Arial" w:cs="Arial"/>
          <w:color w:val="494949"/>
          <w:sz w:val="18"/>
          <w:szCs w:val="18"/>
        </w:rPr>
        <w:br/>
        <w:t>- Luật số 32/1968 liên quan đến tiền tệ, Ngân hàng Trung ương Kuwait và Quy định của Ngành Ngân hàng và các quy định của pháp luật sửa đổi ,</w:t>
      </w:r>
      <w:r w:rsidRPr="005E1046">
        <w:rPr>
          <w:rFonts w:ascii="Arial" w:eastAsia="Times New Roman" w:hAnsi="Arial" w:cs="Arial"/>
          <w:color w:val="494949"/>
          <w:sz w:val="18"/>
          <w:szCs w:val="18"/>
        </w:rPr>
        <w:br/>
        <w:t>- Luật số 32/1969 Quy định cấp giấy phép doanh nghiệp thương mại và luật sửa đổi ,</w:t>
      </w:r>
      <w:r w:rsidRPr="005E1046">
        <w:rPr>
          <w:rFonts w:ascii="Arial" w:eastAsia="Times New Roman" w:hAnsi="Arial" w:cs="Arial"/>
          <w:color w:val="494949"/>
          <w:sz w:val="18"/>
          <w:szCs w:val="18"/>
        </w:rPr>
        <w:br/>
        <w:t>- Luật Nghị định số 68/1980 về việc ban hành Luật Thương mại và các luật sửa đổi liên quan</w:t>
      </w:r>
      <w:r w:rsidRPr="005E1046">
        <w:rPr>
          <w:rFonts w:ascii="Arial" w:eastAsia="Times New Roman" w:hAnsi="Arial" w:cs="Arial"/>
          <w:color w:val="494949"/>
          <w:sz w:val="18"/>
          <w:szCs w:val="18"/>
        </w:rPr>
        <w:br/>
        <w:t>- Luật số 58/1982 phê chuẩn Hiệp định hợp nhất kinh tế GCC.,</w:t>
      </w:r>
      <w:r w:rsidRPr="005E1046">
        <w:rPr>
          <w:rFonts w:ascii="Arial" w:eastAsia="Times New Roman" w:hAnsi="Arial" w:cs="Arial"/>
          <w:color w:val="494949"/>
          <w:sz w:val="18"/>
          <w:szCs w:val="18"/>
        </w:rPr>
        <w:br/>
        <w:t>- Luật số 56/1996 về việc ban hành Đạo luật Công nghiệp,</w:t>
      </w:r>
      <w:r w:rsidRPr="005E1046">
        <w:rPr>
          <w:rFonts w:ascii="Arial" w:eastAsia="Times New Roman" w:hAnsi="Arial" w:cs="Arial"/>
          <w:color w:val="494949"/>
          <w:sz w:val="18"/>
          <w:szCs w:val="18"/>
        </w:rPr>
        <w:br/>
        <w:t>- Luật số 19/2000 về sự hỗ trợ cho lực lượnglao động quốc gia và khuyến khích việc làm của họ trong khu vực phi chính phủ.</w:t>
      </w:r>
      <w:r w:rsidRPr="005E1046">
        <w:rPr>
          <w:rFonts w:ascii="Arial" w:eastAsia="Times New Roman" w:hAnsi="Arial" w:cs="Arial"/>
          <w:color w:val="494949"/>
          <w:sz w:val="18"/>
          <w:szCs w:val="18"/>
        </w:rPr>
        <w:br/>
        <w:t>- Quốc hội đã thông qua pháp luật của các quy định sau đây, và chúng tôi cótrách nhiệm ban hànhvà bị sử phạt khi sai lệch nội dung.</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Các định nghĩa</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từ ngữ dưới đây có ý nghĩa được giao kết với nhau:</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Bộ trưởng Bộ:</w:t>
      </w:r>
      <w:r w:rsidRPr="005E1046">
        <w:rPr>
          <w:rFonts w:ascii="Arial" w:eastAsia="Times New Roman" w:hAnsi="Arial" w:cs="Arial"/>
          <w:color w:val="494949"/>
          <w:sz w:val="18"/>
          <w:szCs w:val="18"/>
        </w:rPr>
        <w:br/>
        <w:t>Bộ trưởng Bộ Thương mại và Công nghiệp</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Vốn : vốn đầu tư nướcngoài:</w:t>
      </w:r>
      <w:r w:rsidRPr="005E1046">
        <w:rPr>
          <w:rFonts w:ascii="Arial" w:eastAsia="Times New Roman" w:hAnsi="Arial" w:cs="Arial"/>
          <w:color w:val="494949"/>
          <w:sz w:val="18"/>
          <w:szCs w:val="18"/>
        </w:rPr>
        <w:br/>
        <w:t>1) Tiền nước ngoài , chứng khoán và các giấy tờ thương mại được chuyển tới Kuwait.</w:t>
      </w:r>
      <w:r w:rsidRPr="005E1046">
        <w:rPr>
          <w:rFonts w:ascii="Arial" w:eastAsia="Times New Roman" w:hAnsi="Arial" w:cs="Arial"/>
          <w:color w:val="494949"/>
          <w:sz w:val="18"/>
          <w:szCs w:val="18"/>
        </w:rPr>
        <w:br/>
        <w:t>2) Máy móc, thiết bị, phương tiện vận tải, nguyên liệu và hàng hóa nhập khẩu từ nước ngoài cho mục đích đầu tư.</w:t>
      </w:r>
      <w:r w:rsidRPr="005E1046">
        <w:rPr>
          <w:rFonts w:ascii="Arial" w:eastAsia="Times New Roman" w:hAnsi="Arial" w:cs="Arial"/>
          <w:color w:val="494949"/>
          <w:sz w:val="18"/>
          <w:szCs w:val="18"/>
        </w:rPr>
        <w:br/>
        <w:t>3) Trong các quyền cụ thể nhưđạo đức,các bằng sáng chế, nhãn hiệu thương mại, giấy phép và tên thương mại đã đăng ký, kỹ thuật và thiết kế kỹ thuật.</w:t>
      </w:r>
      <w:r w:rsidRPr="005E1046">
        <w:rPr>
          <w:rFonts w:ascii="Arial" w:eastAsia="Times New Roman" w:hAnsi="Arial" w:cs="Arial"/>
          <w:color w:val="494949"/>
          <w:sz w:val="18"/>
          <w:szCs w:val="18"/>
        </w:rPr>
        <w:br/>
        <w:t>4) Lợi nhuận và thu nhập của vốn đầu tư nước ngoài tăng vốn đầu tư nước ngoài hoặclợi nhuận làm việc trong các dự án đầu tư mới.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Ngoại thương:</w:t>
      </w:r>
      <w:r w:rsidRPr="005E1046">
        <w:rPr>
          <w:rFonts w:ascii="Arial" w:eastAsia="Times New Roman" w:hAnsi="Arial" w:cs="Arial"/>
          <w:color w:val="494949"/>
          <w:sz w:val="18"/>
          <w:szCs w:val="18"/>
        </w:rPr>
        <w:br/>
        <w:t>- Một người tự nhiên hoặc pháp nhân, những người nắm giữ quốc tịch khác  so với Kuwait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Đầu tư nước ngoài:</w:t>
      </w:r>
      <w:r w:rsidRPr="005E1046">
        <w:rPr>
          <w:rFonts w:ascii="Arial" w:eastAsia="Times New Roman" w:hAnsi="Arial" w:cs="Arial"/>
          <w:color w:val="494949"/>
          <w:sz w:val="18"/>
          <w:szCs w:val="18"/>
        </w:rPr>
        <w:br/>
        <w:t>- Đầu tư vốn nước ngoài trong hoạt động cấp giấy phép theo quy định của Thông tư này quy định.</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Doanh nghiệp:</w:t>
      </w:r>
      <w:r w:rsidRPr="005E1046">
        <w:rPr>
          <w:rFonts w:ascii="Arial" w:eastAsia="Times New Roman" w:hAnsi="Arial" w:cs="Arial"/>
          <w:color w:val="494949"/>
          <w:sz w:val="18"/>
          <w:szCs w:val="18"/>
        </w:rPr>
        <w:br/>
        <w:t>- Bất cứ hoạt động kinh tế, dự án thuộc diện quy định của pháp luật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 Ủy banĐầu tư:</w:t>
      </w:r>
      <w:r w:rsidRPr="005E1046">
        <w:rPr>
          <w:rFonts w:ascii="Arial" w:eastAsia="Times New Roman" w:hAnsi="Arial" w:cs="Arial"/>
          <w:color w:val="494949"/>
          <w:sz w:val="18"/>
          <w:szCs w:val="18"/>
        </w:rPr>
        <w:br/>
        <w:t>- Ủy ban vốn đầu tư nước ngoài được thành lập theo quy định của Điều (5) của Quy chế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Chương Một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Về vốn đầu tư nước ngoài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2)</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 xml:space="preserve">Nếu không có ảnh hưởng quy định tại Điều (3) của Quy chế này, Hội đồng Bộ trưởng có trách nhiệm xác định </w:t>
      </w:r>
      <w:r w:rsidRPr="005E1046">
        <w:rPr>
          <w:rFonts w:ascii="Arial" w:eastAsia="Times New Roman" w:hAnsi="Arial" w:cs="Arial"/>
          <w:color w:val="494949"/>
          <w:sz w:val="18"/>
          <w:szCs w:val="18"/>
        </w:rPr>
        <w:lastRenderedPageBreak/>
        <w:t>các hoạt động kinh tế và các dự án mà nhà đầu tư nước ngoài được cho phép để thực hiện trong phạm vi Nhà nước Kuwait cho dù độc lập hoặc tham gia với các nguồn vốn quốc gia phù hợp với chính sách chung củaNhà nước và kế hoạch phát triển kinh tế đã được phê duyệt.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3)</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Giấy phép được cấp cho nhà đầu tư nước ngoài thực hiện bất kỳ hoạt động kinh tế, dự án vớimột đơn đặt hàng của Bộ trưởng Bộ theo đề nghị của Ủy ban Đầu tư, và saukhi cósự chấp thuận của cơ quan có thẩm quyền.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Xin cấp giấy phép phải được quyết định trong vòng một khoảng thời gian tối đa là tám tháng kể từ ngày nộpđơn xin phép . Trong trường hợp từ chối, quyết định phải được biện minh bằng văn bản.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quy định của khoản 1 Điều 23 và các quy định tại Điều 24 của Luật Nghị định số 68/1980nêu trên đâykhông áp dụng đối với giấy phép đó.</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Bất kỳ cam kết đầu tư một trong những nguồn tài nguyên thiên nhiên hoặc các tiện ích công cộng chỉ được thực hiện theo quy định của pháp luật và được cho một khoảng thời gian hạn chế. Thủ tục sơ bộ phải bảo đảm tạo điều kiện thuận lợi cho tìm kiếm, kiểm travàphát hiện thành tựu của sự cởi mở và cạnh tranh.</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thỏa thuận, hợp đồng hoặc quyền ,nghĩa vụ được cấpphéptrước khi ban hành Hiến phápvàLuật này chỉ có thể đượcđiều chỉnh ,gia hạn hoặc sửa đổi theo quy định của pháp luậthiện hành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4)</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Loại trừ các quy định của Điều 68 của Luật số 15 năm 1960 được coi làgiấy phép có thể được cung cấp theo đơn đặt hàng của Bộ trưởng theo khuyến nghị của Ủy ban Đầu tư cùng kiến nghị củacác công ty Kuwait, nơi chia sẻđóng gópcủa người nước ngoài trong đó 100% số vốn của họ phù hợp với điều kiện và hoàn cảnh được xác địnhbởi Hội đồng Bộ trưởng.</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Chương Hai</w:t>
      </w:r>
      <w:r w:rsidRPr="005E1046">
        <w:rPr>
          <w:rFonts w:ascii="Arial" w:eastAsia="Times New Roman" w:hAnsi="Arial" w:cs="Arial"/>
          <w:b/>
          <w:bCs/>
          <w:color w:val="494949"/>
          <w:sz w:val="18"/>
          <w:szCs w:val="18"/>
        </w:rPr>
        <w:br/>
      </w:r>
      <w:r w:rsidRPr="005E1046">
        <w:rPr>
          <w:rFonts w:ascii="Arial" w:eastAsia="Times New Roman" w:hAnsi="Arial" w:cs="Arial"/>
          <w:color w:val="494949"/>
          <w:sz w:val="18"/>
          <w:szCs w:val="18"/>
        </w:rPr>
        <w:br/>
        <w:t>Ủy ban Đầu tư nước ngoài Thủ đô</w:t>
      </w:r>
      <w:r w:rsidRPr="005E1046">
        <w:rPr>
          <w:rFonts w:ascii="Arial" w:eastAsia="Times New Roman" w:hAnsi="Arial" w:cs="Arial"/>
          <w:color w:val="494949"/>
          <w:sz w:val="18"/>
          <w:szCs w:val="18"/>
        </w:rPr>
        <w:br/>
        <w:t>.</w:t>
      </w:r>
      <w:r w:rsidRPr="005E1046">
        <w:rPr>
          <w:rFonts w:ascii="Arial" w:eastAsia="Times New Roman" w:hAnsi="Arial" w:cs="Arial"/>
          <w:color w:val="494949"/>
          <w:sz w:val="18"/>
          <w:szCs w:val="18"/>
        </w:rPr>
        <w:br/>
        <w:t>(Điều 5)</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Một Ủy ban được gọi là  Ủy ban Đầu tư nước ngoài Thủ đô được hình thành dưới sự chủ trì của Bộ trưởngBộ, theo đó vịệc quyết định thành lậpsẽ được ban hành theo lệnh của Hội đồng Bộ trưởng. Uỷ viên Uỷ ban bao gồm các chuyên gia đại diện cho khu vực tư nhân cũng như đại diện của Phòng Thương mại và Công nghiệp Kuwait.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Người đứng đầu của Văn phòng Đầu tư vốn nước ngoài được chỉ định tại Điều 7 của Quy chế này, có trách nhiệm làm Tổng thư ký Uỷ ban.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Hoạt độngcủa Uỷ ban phải được quy định theo một đơn đặt hàng được phát hành bởi Bộ trưởng Bộ, trong đóthù lao của các thành viên của nó được Hội đồng Bộ trưởng xác định theothứ tựchức danh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6)</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Ủy ban Đầu tư có trách nhiệm được tham gia vào các hoạt động sau đây: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1. Nghiên cứu ứng dụng cho đầu tư và trình khuyến nghị đó.</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2. Thúc đẩy cơ hội đầu tư sẵn có trong nước và chủ động kêu gọi ,thu hút đầu tư nước ngoài.</w:t>
      </w:r>
      <w:r w:rsidRPr="005E1046">
        <w:rPr>
          <w:rFonts w:ascii="Arial" w:eastAsia="Times New Roman" w:hAnsi="Arial" w:cs="Arial"/>
          <w:color w:val="494949"/>
          <w:sz w:val="18"/>
          <w:szCs w:val="18"/>
        </w:rPr>
        <w:br/>
        <w:t>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3. Cấp đặc quyền để khuyến khích các nhà đầu tư nước ngoài và khu vưc tư nhân Kuwait để đầu tư theo quy định tại Điều (13) Thông tư này ,phối hợp với các cơ quan có thẩm quyền với sự nhấn mạnh đặc biệt khuyến khích khu vực tư nhân Kuwaittham gia.</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4. Tạo điều kiện thuận lợi cho giấy phép hoạt động của doanh nghiệp ,các thủ tục đăng ký và loại bỏ những trở ngại có thể gặp phải sự cương cứng của nó.</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5. Áp đặt một phương pháp để theo dõi ,đánh giá hiệu suất của đầu tư nước ngoài vào trong nước, với một tầmnhìn để xác định những trở ngại phải đối mặt với những đầu tư đó và để khắc phục sự trùng lắp.</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6. Điều tra các khiếu nại đưa ra bởi nhà đầu tư nước ngoài và các bên liên quan khác đối vớikết quả củaviệcthực hiện các quy định của pháp luật này, và gửi báo cáo định kỳ cho các cơ quan có thẩm quyền.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7. Áp đặt các hình phạt quy định tại Điều (15) của Quy chế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8. Chuẩn bị các dự thảo quy chuẩn cần thiết để thực hiện các quy định của pháp luật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lastRenderedPageBreak/>
        <w:br/>
        <w:t>9 .Hãy xem xét các vấn đề do Bộ trưởng Bộ liên quan đến việc thực hiện  các quy định của Quy chế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10. Chuẩn bị báo cáo thống kê định kỳ về hoạt động đầu tư nước ngoài cũng như báo cáo hàng năm về các dự án đầu tư được cấp phép cùng với những trở ngại phải đối mặt với sự xâm nhập của đầu tư nước ngoài vào đất nước và cách khắc phục . Báo cáo này sẽ được trình lên Hội đồng Bộ trưởng trong một khoảng thời gian không vượt quá cuối tháng ba hàng năm.</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7)</w:t>
      </w:r>
      <w:r w:rsidRPr="005E1046">
        <w:rPr>
          <w:rFonts w:ascii="Arial" w:eastAsia="Times New Roman" w:hAnsi="Arial" w:cs="Arial"/>
          <w:color w:val="494949"/>
          <w:sz w:val="18"/>
          <w:szCs w:val="18"/>
        </w:rPr>
        <w:br/>
        <w:t> </w:t>
      </w:r>
      <w:r w:rsidRPr="005E1046">
        <w:rPr>
          <w:rFonts w:ascii="Arial" w:eastAsia="Times New Roman" w:hAnsi="Arial" w:cs="Arial"/>
          <w:color w:val="494949"/>
          <w:sz w:val="18"/>
          <w:szCs w:val="18"/>
        </w:rPr>
        <w:br/>
        <w:t>Một văn phòng được gọi là Văn phòng Tổng vốn đầu tư nước ngoài - (FICO) sẽ được thiết lập để hoạt động như các nhân viên điều hành của Ủy ban Đầu tư nước ngoài Thủ đô, được hình thành theo một đơn đặt hàng của Bộ trưởng Bộ, cũng theotrật tự quy định cụ thể các quy tắc làm việc đó. Người đứng đầu văn phòng này sẽ được bổ nhiệm bằng một quyết định được ban hành theo đề cử của Bộ trưởng.</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(FICO) có trách nhiệm tiếp nhận hồ sơ xin cấp phép, kết hợp với các cơ quan liên quan, tiến hành các nghiên cứu cần thiết để hoàn chỉnh và nộp đề xuất bằng văn bảntớiỦy ban Đầu tư để ra quyết địnhbằngbản trong một thời gian ân hạn không quá bốn tháng kể từ ngày nhận . Giai đoạn này có thể kéo dài một thời gian tương tự theo một đơn đề nghịcủa Bộ trưởng Bộ này nếu là chính đáng bằng văn bản.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(FICO) được hoạt động trên tất cả các vấn đề liên quan đến vốn đầu tư nước ngoài, đặc biệt là:</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1. Thông tin cho thị trường quốc tế về các doanh nghiệp đượcthu hútđể đầu tư và làm nổi bật những lợi ích được hưởng vốn đầu tư nước ngoài trong cả nước.</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2. Cung cấp tất cả các thông tin cần thiết, làm rõ và thống kê theo yêu cầu của nhà đầu tư nước ngoài.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3. Theo dõi thực hiện của doanh nghiệp được cấp phép và loại bỏ những trở ngại và khó khăn có thể đương đầu với doanh nghiệp đó.</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4. Phối hợp với các cơ quan có liên quan để tạo điều kiện thuận lợi cho nhà đầu tư nước ngoài nhập cảnh và cư trú tại đất nước cũng như các đại lý nước ngoài có kết nối kinh doanh với đối tác trong nước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Chương Ba</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Bảo lãnh bảo đảm cho đầu tư nước ngoài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8)</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Doanh nghiệp nước ngoài được cấp giấy phép theo quy định của pháp luật này không có thể bị tịch thu hoặc quốc hữu hoá.</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Tước quyền sở hữu chỉ có thể được thực hiện cho lợi ích công cộng theo quy định của pháp luật, việcáp dụng phạt đối với một bồi thường tương đương với giá trị kinh tế của doanh nghiệptheothực tế tại thời điểm tước quyền sở hữu. Giá trị này được đánh giá theo tình hình kinh tế trước khi bất kỳ mối đe dọa tước quyền sở hữu. Hơn nữa việc bồi thường đóđược trả không chậm trễ.</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9)</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Nếu không có ảnh hưởng đến các quy định của Điều (3) Quy chế này,luật này sẽ áp dụng đối với đầu tư hiện có thuộc vốn đầu tư nước ngoài phù hợp với quy định của pháp luật hiện hành, cung cấp các quyền ưu đãi, miễn trừ và bảo lãnh cho các khoản đầu tư đó theo quy định tại Thông tư này  không ít hơn so vớiqui địnhtrước đây đối với đầu tư hiện có. Các ứng dụng đối với việc hưởng lợi từ các ưu đãi theo quy định của tài liệu này cầnđược nhà đầu tư nước ngoài trình Ủy ban Đầu tư để xem xét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10)</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Nhà đầu tư nước ngoài được cấp giấy phép theo quy định của pháp luật này không phải chịu bất kỳ sự sửa đổi quy định trong tài liệu này làm thiệt hại đến lợi ích của mình. Tuy nhiên, do mở rộng đầu tư hiện tại thì việc thi hành sửa đổi đó sẽ được miễntrách.</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11)</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1. Các nhà đầu tư nước ngoài có quyền chuyển nhượng đầu tư đầy đủ hoặc một phần chomột nhà đầu tư nước ngoài khác, hoặc cho nhà đầu tư quốc gia, hoặc từ bỏ đối tác quốc gia của mình trong trường hợp  quan hệ đối tác, phù hợp với pháp luật và các quy địnhcủagiấy phép.</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2. Trong trường hợp chuyển nhượng đầu tư nước ngoài một phần hoặc toàn bộ cho một nhà đầu tư nước ngoài khác, nhà đầu tư này thay thế cho   nhà đầu tư trước đây trong phạm vi quyền sở hữu chuyển giao của nhà đầu tư trước đây. Hơn nữaviệcđầu tư tiếp tục được xử lý theo quy định của pháp luật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lastRenderedPageBreak/>
        <w:br/>
        <w:t>(Điều 12)</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nhà đầu tư nước ngoài có quyền chuyển ra nước ngoài lợi nhuận, vốn của mình, vàtiềnbồi thường theo quy định tại Điều (8) của Quy chế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Hơn nữa, công nhânviênKuwait trong doanh nghiệp, và các đại lý hiện cóliênquanởbên ngoài Kuwait cũng có thể chuyển tiền tiết kiệm và lệ phí ở nước ngoài.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Chương Bốn</w:t>
      </w:r>
      <w:r w:rsidRPr="005E1046">
        <w:rPr>
          <w:rFonts w:ascii="Arial" w:eastAsia="Times New Roman" w:hAnsi="Arial" w:cs="Arial"/>
          <w:b/>
          <w:bCs/>
          <w:color w:val="494949"/>
          <w:sz w:val="18"/>
          <w:szCs w:val="18"/>
        </w:rPr>
        <w:br/>
      </w:r>
      <w:r w:rsidRPr="005E1046">
        <w:rPr>
          <w:rFonts w:ascii="Arial" w:eastAsia="Times New Roman" w:hAnsi="Arial" w:cs="Arial"/>
          <w:b/>
          <w:bCs/>
          <w:color w:val="494949"/>
          <w:sz w:val="18"/>
          <w:szCs w:val="18"/>
        </w:rPr>
        <w:br/>
      </w:r>
      <w:r w:rsidRPr="005E1046">
        <w:rPr>
          <w:rFonts w:ascii="Arial" w:eastAsia="Times New Roman" w:hAnsi="Arial" w:cs="Arial"/>
          <w:color w:val="494949"/>
          <w:sz w:val="18"/>
          <w:szCs w:val="18"/>
        </w:rPr>
        <w:t>Các quyền ưu đãi và nghĩa vụ của đầu tư nước ngoài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13)</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Ủy ban Đầu tư có thể cấp vốn đầu tư nước ngoàitoàn bộhoặc một phần theonhững đặc quyền sau đây: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1. Miễn thuế thu nhập hoặc bất kỳ các loại thuế khác trong một thời gian không quá mười năm kể từ khi bắt đầu hoạt động thực tế của doanh nghiệp và miễn tất cả các đầu tư mới trong cùng một doanh nghiệp từ các khoản thuế tương đương với giai đoạn cấp cho đầu tư ban đầu khi doanh nghiệp được thành lập.</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2. Được hưởng lợi từ các đặc quyền cung cấp theo Hiệp định tránh đánh thuế hai lần cũng như khuyến khích đầu tư và thỏa thuận bảo vệ.</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3. Toàn bộ hoặc một phần miễn thuế hải quan nhập khẩu sau đây: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I. Máy móc, thiết bị, và các phụ tùng thay thế cần thiết cho mở rộng, xây dựng và phát triểncơ sở đầu tư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II. Nguyên liệu thô, hàng sơ chế, bao bì ,vật liệu đóng gói và các vật liệu khác theoyêu cầu cho mục đích sản xuất.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4.Được giao đất đai và bất động sản cần thiết cho mục đích đầu tư theo quy định của pháp luật và các quy định áp dụng tại Nhà nước Kuwait.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5. Yêu cầu tuyển dụng lao động nước ngoài theo quy định của pháp luật và các quy định áp dụng trong nướcKuwait.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Hội đồng Bộ trưởng ra quyết định xác định tỷ lệ lao động quốc gia đối với các dự ánđầu tưtheo quy định của pháp luật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Cung cấp đặc quyền ghi trong Điều này được thực hiện phù hợp với kế hoạch phát triển kinh tế ,cũng như số lượng của các công nhân viên Kuwait trong doanh nghiệp và thực hiện theocác quy định của Luật số 19/2000 liên quan đến tuyển dụng lao động Quốc gia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14)</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nhà đầu tư nước ngoài cam kết bảo vệ sự an toàn môi trường, thực hiện theo trật tựcông cộng và đạo đức xã hội cũng như các hướng dẫn liên quan đến an ninh, vệ sinh công cộng và an toàn của bên thứ ba.</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Chương Năm</w:t>
      </w:r>
      <w:r w:rsidRPr="005E1046">
        <w:rPr>
          <w:rFonts w:ascii="Arial" w:eastAsia="Times New Roman" w:hAnsi="Arial" w:cs="Arial"/>
          <w:b/>
          <w:bCs/>
          <w:color w:val="494949"/>
          <w:sz w:val="18"/>
          <w:szCs w:val="18"/>
        </w:rPr>
        <w:br/>
      </w:r>
      <w:r w:rsidRPr="005E1046">
        <w:rPr>
          <w:rFonts w:ascii="Arial" w:eastAsia="Times New Roman" w:hAnsi="Arial" w:cs="Arial"/>
          <w:color w:val="494949"/>
          <w:sz w:val="18"/>
          <w:szCs w:val="18"/>
        </w:rPr>
        <w:br/>
        <w:t>Hình phạt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15)</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Trong trường hợp nhà đầu tư nước ngoài vi phạm các quy định của Quy chế này, điều kiện cấp phép, pháp luật hoặc các quy định thi hành tại đất nướcKuwait ; Ủy ban Đầu tư có thể áp dụng một trong các hình phạt sau đây chống lại họ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1. Thông báo</w:t>
      </w:r>
      <w:r w:rsidRPr="005E1046">
        <w:rPr>
          <w:rFonts w:ascii="Arial" w:eastAsia="Times New Roman" w:hAnsi="Arial" w:cs="Arial"/>
          <w:color w:val="494949"/>
          <w:sz w:val="18"/>
          <w:szCs w:val="18"/>
        </w:rPr>
        <w:br/>
        <w:t>2. Cảnh báo</w:t>
      </w:r>
      <w:r w:rsidRPr="005E1046">
        <w:rPr>
          <w:rFonts w:ascii="Arial" w:eastAsia="Times New Roman" w:hAnsi="Arial" w:cs="Arial"/>
          <w:color w:val="494949"/>
          <w:sz w:val="18"/>
          <w:szCs w:val="18"/>
        </w:rPr>
        <w:br/>
        <w:t>3. Tướcquyền lợitừ trợ cấp toàn bộ hoặc một phần cho nhà đầu tư đó . Tuy nhiên, các nhà đầu tư nước ngoàiđãkhắc phục các vi phạm tương ứng có thể yêu cầu xem xét lại quyết định tướcđoạt .</w:t>
      </w:r>
      <w:r w:rsidRPr="005E1046">
        <w:rPr>
          <w:rFonts w:ascii="Arial" w:eastAsia="Times New Roman" w:hAnsi="Arial" w:cs="Arial"/>
          <w:color w:val="494949"/>
          <w:sz w:val="18"/>
          <w:szCs w:val="18"/>
        </w:rPr>
        <w:br/>
        <w:t>4. Đình chỉ hoạt động hành chính của doanh nghiệp trong một thời gian nhất định.</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Hơn nữa, tòa án có thể, theo yêu cầu của quy tắc đầu tư,củaUỷ ban về việc hủy bỏ giấy phép và thanh lý đầu tư.</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 xml:space="preserve">Nếu không phương hạiđến quyền hợp pháp của nhà đầu tư nước ngoàikhi dựa vào tòa án , các nhà đầu tư nước ngoài có quyền khiếu nại lên Hội đồng Bộ trưởng đối với các hình phạt quy định tại khoản 3, 4 trong vòng ba mươi ngày kể từ ngày họ được thông báo về quyết định xử phạt. Trong trường hợp từ chối đơn khiếu nại, quyết </w:t>
      </w:r>
      <w:r w:rsidRPr="005E1046">
        <w:rPr>
          <w:rFonts w:ascii="Arial" w:eastAsia="Times New Roman" w:hAnsi="Arial" w:cs="Arial"/>
          <w:color w:val="494949"/>
          <w:sz w:val="18"/>
          <w:szCs w:val="18"/>
        </w:rPr>
        <w:lastRenderedPageBreak/>
        <w:t>định phải được biện minh bằng văn bản.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Việc khiếu nại không chính thức được trả lời trong thời hạn sáu mươi ngày, kể từ ngày nộp đơn được coi là bị từ chối.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Thi hành hình phạt không được làm giảmnhẹ cho nhàđầu tư nước ngoài đối với  trách nhiệm dân sự và hình sự, bất cứ khi nàođượcáp dụng.</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b/>
          <w:bCs/>
          <w:color w:val="494949"/>
          <w:sz w:val="18"/>
          <w:szCs w:val="18"/>
        </w:rPr>
        <w:t>Chương Sáu</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Những điều khoản cuối cùng</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16)</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Tòa án Kuwait có thẩm quyềnđộc lậpxem xét bất cứ điều gì tranh chấp phát sinh giữa các doanh nghiệp đầu tư nước ngoài và các bên thứ ba. Tuy nhiên, các bên có thể thoả thuận đưatranh chấp đó ra trọng tài.</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17)</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Theo các quy định của Quy chế này, các nhà đầu tư nước ngoài được hưởngsự đảmbảo theocác nguyên tắc bình đẳng và bảo mật thông tin kỹ thuật, kinh tế và tài chính, kết nối với doanh nghiệp, cũng như bảo quản các sáng kiến ​​đầu tư theo quy định của pháp luật có liên quan.</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Nếu không có ảnh hưởng đến bất kỳ hình phạt nặng hơn theo quy định của luật pháp khác, bất kỳ người nào tiết lộ bất kỳ thông tin nàodo nhận thức phục vụcác chức năng công việc của mình và liên quan đến chủ động đầu tư, kỹ thuật, các khía cạnh kinh tế, tài chính của đầu tư nước ngoài,  sẽ bị trừng phạt theo quy định của Quy chế này bằng cách phạt tù một thời gian không quá một năm và phạt tiền tối đa một vạn( 10 nghìn) Kuwait Dinar, hoặc bằng một trong hai hình phạt, ngoại trừ những trường hợptiết lộnhư vậy là được phép theo quy định của pháp luật.</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18)</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Bộ trưởng Bộ sẽ trình Quốc hội một bản sao của báo cáo hàng năm theo quy định tại khoản (10) của Điều 6 Quy chế này trong thời hạn ba mươi ngày, kể từ ngày trình bày với Hội đồng Bộ trưởng.</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Hơn nữa, Bộ trưởng Bộ sẽ trình Quốc hội một tuyên bố định kỳ sáu tháng bao gồm tất cả các ứng dụng theo các Điều (3, 4, 9) của Quy chế này và các đơn đặt hàng ban hành trong lĩnh vực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19)</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Trong bối cảnh đầu tư nước ngoài, mọi phát hành để cung cấp tài liệu này không phải là trường hợp đặc biệt phải tuân thủcác quy định của pháp luật và các quy định áp dụng tại Nhà nước Kuwait, và sẽ không có xung đột với các quy định của Quy chế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20)</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quy định của pháp luật này sẽ được áp dụng cho các hoạt động kinh tế và các doanh nghiệp tham gia của nhà đầu tư quốc gia ,không cóđối tác nước ngoài cho đến  khi nào họnằmtrong phạm vi các hoạt động và các doanh nghiệp được xác định bởiHội đồng Bộ trưởng theo điều khoản(2) Thông tư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21)</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Các Bộ trưởng ban hành các văn bản điều hành theoLuật pháp và các đơn đặt hàng cần thiết cho việc thực hiện các quy định của Quy chế này trong vòng sáu tháng kể từ ngày ban hành.</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(Điều 22)</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Thủ tướng Chính phủ và các Bộ trưởng, trong phạm vi thẩm quyền của mình, chịu trách nhiệm thi hành Luật này.</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Amir của KUWAIT( Quốc Vương Kuwait )</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Jaber Al-Ahmed Al-Sabahđã ký</w:t>
      </w:r>
      <w:r w:rsidRPr="005E1046">
        <w:rPr>
          <w:rFonts w:ascii="Arial" w:eastAsia="Times New Roman" w:hAnsi="Arial" w:cs="Arial"/>
          <w:color w:val="494949"/>
          <w:sz w:val="18"/>
          <w:szCs w:val="18"/>
        </w:rPr>
        <w:br/>
      </w:r>
      <w:r w:rsidRPr="005E1046">
        <w:rPr>
          <w:rFonts w:ascii="Arial" w:eastAsia="Times New Roman" w:hAnsi="Arial" w:cs="Arial"/>
          <w:color w:val="494949"/>
          <w:sz w:val="18"/>
          <w:szCs w:val="18"/>
        </w:rPr>
        <w:br/>
        <w:t>Ban hành tại Bayan Palace</w:t>
      </w:r>
      <w:r w:rsidRPr="005E1046">
        <w:rPr>
          <w:rFonts w:ascii="Arial" w:eastAsia="Times New Roman" w:hAnsi="Arial" w:cs="Arial"/>
          <w:color w:val="494949"/>
          <w:sz w:val="18"/>
          <w:szCs w:val="18"/>
        </w:rPr>
        <w:br/>
        <w:t>Hồi giáo vào ngày 23, 1422 A.H</w:t>
      </w:r>
    </w:p>
    <w:p w:rsidR="005E1046" w:rsidRPr="005E1046" w:rsidRDefault="005E1046" w:rsidP="005E1046">
      <w:pPr>
        <w:spacing w:after="0" w:line="240" w:lineRule="auto"/>
        <w:rPr>
          <w:rFonts w:ascii="Arial" w:eastAsia="Times New Roman" w:hAnsi="Arial" w:cs="Arial"/>
          <w:color w:val="494949"/>
          <w:sz w:val="18"/>
          <w:szCs w:val="18"/>
        </w:rPr>
      </w:pPr>
      <w:r w:rsidRPr="005E1046">
        <w:rPr>
          <w:rFonts w:ascii="Arial" w:eastAsia="Times New Roman" w:hAnsi="Arial" w:cs="Arial"/>
          <w:color w:val="494949"/>
          <w:sz w:val="18"/>
          <w:szCs w:val="18"/>
        </w:rPr>
        <w:t>                                                                </w:t>
      </w:r>
    </w:p>
    <w:p w:rsidR="005E1046" w:rsidRPr="005E1046" w:rsidRDefault="005E1046" w:rsidP="005E1046">
      <w:pPr>
        <w:spacing w:after="0" w:line="240" w:lineRule="auto"/>
        <w:rPr>
          <w:rFonts w:ascii="Arial" w:eastAsia="Times New Roman" w:hAnsi="Arial" w:cs="Arial"/>
          <w:color w:val="494949"/>
          <w:sz w:val="18"/>
          <w:szCs w:val="18"/>
        </w:rPr>
      </w:pPr>
      <w:r w:rsidRPr="005E1046">
        <w:rPr>
          <w:rFonts w:ascii="Arial" w:eastAsia="Times New Roman" w:hAnsi="Arial" w:cs="Arial"/>
          <w:color w:val="494949"/>
          <w:sz w:val="18"/>
          <w:szCs w:val="18"/>
        </w:rPr>
        <w:lastRenderedPageBreak/>
        <w:t> </w:t>
      </w:r>
    </w:p>
    <w:p w:rsidR="005E1046" w:rsidRPr="005E1046" w:rsidRDefault="005E1046" w:rsidP="005E1046">
      <w:pPr>
        <w:spacing w:after="0" w:line="240" w:lineRule="auto"/>
        <w:rPr>
          <w:rFonts w:ascii="Arial" w:eastAsia="Times New Roman" w:hAnsi="Arial" w:cs="Arial"/>
          <w:color w:val="494949"/>
          <w:sz w:val="18"/>
          <w:szCs w:val="18"/>
        </w:rPr>
      </w:pPr>
      <w:r w:rsidRPr="005E1046">
        <w:rPr>
          <w:rFonts w:ascii="Arial" w:eastAsia="Times New Roman" w:hAnsi="Arial" w:cs="Arial"/>
          <w:color w:val="494949"/>
          <w:sz w:val="18"/>
          <w:szCs w:val="18"/>
        </w:rPr>
        <w:t>                            Bản dịch từ nguyên bản tiếng Anh chưa công chứng chính thức</w:t>
      </w:r>
    </w:p>
    <w:p w:rsidR="005E1046" w:rsidRPr="005E1046" w:rsidRDefault="005E1046" w:rsidP="005E1046">
      <w:pPr>
        <w:spacing w:after="0" w:line="240" w:lineRule="auto"/>
        <w:rPr>
          <w:rFonts w:ascii="Arial" w:eastAsia="Times New Roman" w:hAnsi="Arial" w:cs="Arial"/>
          <w:color w:val="494949"/>
          <w:sz w:val="18"/>
          <w:szCs w:val="18"/>
        </w:rPr>
      </w:pPr>
      <w:r w:rsidRPr="005E1046">
        <w:rPr>
          <w:rFonts w:ascii="Arial" w:eastAsia="Times New Roman" w:hAnsi="Arial" w:cs="Arial"/>
          <w:color w:val="494949"/>
          <w:sz w:val="18"/>
          <w:szCs w:val="18"/>
        </w:rPr>
        <w:t>                              Do Tham Tán Thương Mại  ĐSQ VN tai Kuwait thực hiện</w:t>
      </w:r>
    </w:p>
    <w:p w:rsidR="005E1046" w:rsidRPr="005E1046" w:rsidRDefault="005E1046" w:rsidP="005E1046">
      <w:pPr>
        <w:spacing w:line="240" w:lineRule="auto"/>
        <w:rPr>
          <w:rFonts w:ascii="Arial" w:eastAsia="Times New Roman" w:hAnsi="Arial" w:cs="Arial"/>
          <w:color w:val="494949"/>
          <w:sz w:val="18"/>
          <w:szCs w:val="18"/>
        </w:rPr>
      </w:pPr>
      <w:r w:rsidRPr="005E1046">
        <w:rPr>
          <w:rFonts w:ascii="Arial" w:eastAsia="Times New Roman" w:hAnsi="Arial" w:cs="Arial"/>
          <w:color w:val="494949"/>
          <w:sz w:val="18"/>
          <w:szCs w:val="18"/>
        </w:rPr>
        <w:t>                                                      </w:t>
      </w:r>
      <w:r w:rsidRPr="005E1046">
        <w:rPr>
          <w:rFonts w:ascii="Arial" w:eastAsia="Times New Roman" w:hAnsi="Arial" w:cs="Arial"/>
          <w:b/>
          <w:bCs/>
          <w:color w:val="494949"/>
          <w:sz w:val="18"/>
          <w:szCs w:val="18"/>
        </w:rPr>
        <w:t>Lê Hải Châu</w:t>
      </w:r>
    </w:p>
    <w:p w:rsidR="005531FC" w:rsidRPr="005E1046" w:rsidRDefault="005531FC" w:rsidP="005E1046">
      <w:bookmarkStart w:id="0" w:name="_GoBack"/>
      <w:bookmarkEnd w:id="0"/>
    </w:p>
    <w:sectPr w:rsidR="005531FC" w:rsidRPr="005E104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5E1046"/>
    <w:rsid w:val="006F37D5"/>
    <w:rsid w:val="0072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2443</Words>
  <Characters>13927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2022-07-29T07:21:00Z</dcterms:created>
  <dcterms:modified xsi:type="dcterms:W3CDTF">2022-07-29T07:21:00Z</dcterms:modified>
</cp:coreProperties>
</file>