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68D4FB" w14:textId="77777777" w:rsidR="00964E24" w:rsidRPr="00964E24" w:rsidRDefault="00964E24" w:rsidP="00964E24">
      <w:pPr>
        <w:jc w:val="center"/>
        <w:outlineLvl w:val="0"/>
        <w:rPr>
          <w:rFonts w:ascii="Times New Roman" w:eastAsia="Times New Roman" w:hAnsi="Times New Roman" w:cs="Times New Roman"/>
          <w:b/>
          <w:bCs/>
          <w:color w:val="0D0D0D" w:themeColor="text1" w:themeTint="F2"/>
          <w:kern w:val="36"/>
        </w:rPr>
      </w:pPr>
      <w:r w:rsidRPr="00964E24">
        <w:rPr>
          <w:rFonts w:ascii="Times New Roman" w:eastAsia="Times New Roman" w:hAnsi="Times New Roman" w:cs="Times New Roman"/>
          <w:b/>
          <w:bCs/>
          <w:color w:val="0D0D0D" w:themeColor="text1" w:themeTint="F2"/>
          <w:kern w:val="36"/>
        </w:rPr>
        <w:t>Tình hình ngoại thương của Saudi Arabia giai đoạn 2009 – 2013</w:t>
      </w:r>
    </w:p>
    <w:p w14:paraId="26BF7B40" w14:textId="77777777" w:rsidR="00964E24" w:rsidRPr="00964E24" w:rsidRDefault="00964E24" w:rsidP="00964E24">
      <w:pPr>
        <w:jc w:val="both"/>
        <w:rPr>
          <w:rFonts w:ascii="Times New Roman" w:eastAsia="Times New Roman" w:hAnsi="Times New Roman" w:cs="Times New Roman"/>
          <w:b/>
          <w:bCs/>
          <w:color w:val="0D0D0D" w:themeColor="text1" w:themeTint="F2"/>
        </w:rPr>
      </w:pPr>
      <w:r w:rsidRPr="00964E24">
        <w:rPr>
          <w:rFonts w:ascii="Times New Roman" w:eastAsia="Times New Roman" w:hAnsi="Times New Roman" w:cs="Times New Roman"/>
          <w:b/>
          <w:bCs/>
          <w:color w:val="0D0D0D" w:themeColor="text1" w:themeTint="F2"/>
        </w:rPr>
        <w:t>Saudi Arabia là quốc gia có nền kinh tế lớn nhất khu vực GCC (Hội đồng các quốc gia vùng Vịnh) với tổng sản phẩm quốc nội – GDP lên đến 927,8 tỷ USD, GDP bình quân đầu người đạt 31,3 ngàn USD/năm (theo CIA năm 2013, tính theo sức mua ngang giá – PPP), trữ lượng và sản xuất dầu mỏ nằm trong các nước đứng đầu khu vực và thế giới, dân số đông nhất khối GCC, xuất khẩu bằng 40,5% GDP.</w:t>
      </w:r>
    </w:p>
    <w:p w14:paraId="1AE80677" w14:textId="77777777" w:rsidR="00964E24" w:rsidRPr="00964E24" w:rsidRDefault="00964E24" w:rsidP="00964E24">
      <w:pPr>
        <w:jc w:val="both"/>
        <w:rPr>
          <w:rFonts w:ascii="Times New Roman" w:eastAsia="Times New Roman" w:hAnsi="Times New Roman" w:cs="Times New Roman"/>
          <w:color w:val="0D0D0D" w:themeColor="text1" w:themeTint="F2"/>
        </w:rPr>
      </w:pPr>
      <w:r w:rsidRPr="00964E24">
        <w:rPr>
          <w:rFonts w:ascii="Times New Roman" w:eastAsia="Times New Roman" w:hAnsi="Times New Roman" w:cs="Times New Roman"/>
          <w:color w:val="0D0D0D" w:themeColor="text1" w:themeTint="F2"/>
        </w:rPr>
        <w:t>Xét về quy mô ngoại thương, trong giai đoạn 2009 – 2013, ngoại trừ năm 2013 tổng kim ngạch xuất nhập khẩu của Saudi Arabia xếp thứ hai sau UAE, các năm còn lại đều đứng đầu khối GCC.</w:t>
      </w:r>
    </w:p>
    <w:p w14:paraId="524CD042" w14:textId="77777777" w:rsidR="00964E24" w:rsidRPr="00964E24" w:rsidRDefault="00964E24" w:rsidP="00964E24">
      <w:pPr>
        <w:jc w:val="both"/>
        <w:rPr>
          <w:rFonts w:ascii="Times New Roman" w:eastAsia="Times New Roman" w:hAnsi="Times New Roman" w:cs="Times New Roman"/>
          <w:color w:val="0D0D0D" w:themeColor="text1" w:themeTint="F2"/>
        </w:rPr>
      </w:pPr>
      <w:r w:rsidRPr="00964E24">
        <w:rPr>
          <w:rFonts w:ascii="Times New Roman" w:eastAsia="Times New Roman" w:hAnsi="Times New Roman" w:cs="Times New Roman"/>
          <w:color w:val="0D0D0D" w:themeColor="text1" w:themeTint="F2"/>
        </w:rPr>
        <w:t>            Số liệu của Hội đồng các quốc gia Vùng vịnh và CIA cho thấy, nếu như năm 2009 tổng kim ngạch xuất nhập khẩu của Saudi Arabia đạt 287,842 tỷ USD, đến năm 2013 con số này đã nâng lên 523,3 tỷ USD, tăng 81,8%. Cụ thể, so cùng kỳ năm trước, năm 2010 đạt 358,005 tỷ USD, tăng 24,4%; năm 2011 đạt 496,285 tỷ USD, tăng 38,6%; năm 2012 đạt 543,994 tỷ USD, tăng 9,6%; năm 2013 đạt 523,3 tỷ USD, giảm 3,8%.</w:t>
      </w:r>
    </w:p>
    <w:p w14:paraId="67DE4353" w14:textId="77777777" w:rsidR="00964E24" w:rsidRPr="00964E24" w:rsidRDefault="00964E24" w:rsidP="00964E24">
      <w:pPr>
        <w:jc w:val="both"/>
        <w:rPr>
          <w:rFonts w:ascii="Times New Roman" w:eastAsia="Times New Roman" w:hAnsi="Times New Roman" w:cs="Times New Roman"/>
          <w:color w:val="0D0D0D" w:themeColor="text1" w:themeTint="F2"/>
        </w:rPr>
      </w:pPr>
      <w:r w:rsidRPr="00964E24">
        <w:rPr>
          <w:rFonts w:ascii="Times New Roman" w:eastAsia="Times New Roman" w:hAnsi="Times New Roman" w:cs="Times New Roman"/>
          <w:color w:val="0D0D0D" w:themeColor="text1" w:themeTint="F2"/>
        </w:rPr>
        <w:t>            Như vậy, trong giai đoạn này, ngoại trừ năm 2013 tổng kim ngạch xuất nhập khẩu của Saudi Arabia có mức tăng trưởng âm, các năm còn lại đều đạt mức tăng trưởng tốt. Trong đó, năm 2011 có tốc độ tăng trưởng cao nhất, tiếp theo là năm 2010, 2012.</w:t>
      </w:r>
    </w:p>
    <w:p w14:paraId="54C9AEB4" w14:textId="77777777" w:rsidR="00964E24" w:rsidRPr="00964E24" w:rsidRDefault="00964E24" w:rsidP="00964E24">
      <w:pPr>
        <w:jc w:val="both"/>
        <w:rPr>
          <w:rFonts w:ascii="Times New Roman" w:eastAsia="Times New Roman" w:hAnsi="Times New Roman" w:cs="Times New Roman"/>
          <w:color w:val="0D0D0D" w:themeColor="text1" w:themeTint="F2"/>
        </w:rPr>
      </w:pPr>
      <w:r w:rsidRPr="00964E24">
        <w:rPr>
          <w:rFonts w:ascii="Times New Roman" w:eastAsia="Times New Roman" w:hAnsi="Times New Roman" w:cs="Times New Roman"/>
          <w:color w:val="0D0D0D" w:themeColor="text1" w:themeTint="F2"/>
        </w:rPr>
        <w:t>             </w:t>
      </w:r>
      <w:r w:rsidRPr="00964E24">
        <w:rPr>
          <w:rFonts w:ascii="Times New Roman" w:eastAsia="Times New Roman" w:hAnsi="Times New Roman" w:cs="Times New Roman"/>
          <w:b/>
          <w:bCs/>
          <w:color w:val="0D0D0D" w:themeColor="text1" w:themeTint="F2"/>
        </w:rPr>
        <w:t>Bảng thống kê ngoại thương của Saudi Arabia giai đoạn 2009 – 2013</w:t>
      </w:r>
    </w:p>
    <w:p w14:paraId="58400A47" w14:textId="77777777" w:rsidR="00964E24" w:rsidRPr="00964E24" w:rsidRDefault="00964E24" w:rsidP="00964E24">
      <w:pPr>
        <w:jc w:val="both"/>
        <w:rPr>
          <w:rFonts w:ascii="Times New Roman" w:eastAsia="Times New Roman" w:hAnsi="Times New Roman" w:cs="Times New Roman"/>
          <w:color w:val="0D0D0D" w:themeColor="text1" w:themeTint="F2"/>
        </w:rPr>
      </w:pPr>
      <w:r w:rsidRPr="00964E24">
        <w:rPr>
          <w:rFonts w:ascii="Times New Roman" w:eastAsia="Times New Roman" w:hAnsi="Times New Roman" w:cs="Times New Roman"/>
          <w:color w:val="0D0D0D" w:themeColor="text1" w:themeTint="F2"/>
        </w:rPr>
        <w:t>Đơn vị tính: Triệu USD</w:t>
      </w:r>
    </w:p>
    <w:tbl>
      <w:tblPr>
        <w:tblW w:w="1176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95"/>
        <w:gridCol w:w="1140"/>
        <w:gridCol w:w="1140"/>
        <w:gridCol w:w="990"/>
        <w:gridCol w:w="1275"/>
        <w:gridCol w:w="990"/>
        <w:gridCol w:w="1275"/>
        <w:gridCol w:w="990"/>
        <w:gridCol w:w="1275"/>
        <w:gridCol w:w="990"/>
      </w:tblGrid>
      <w:tr w:rsidR="00964E24" w:rsidRPr="00964E24" w14:paraId="181B262B" w14:textId="77777777" w:rsidTr="00964E24">
        <w:trPr>
          <w:tblCellSpacing w:w="0" w:type="dxa"/>
        </w:trPr>
        <w:tc>
          <w:tcPr>
            <w:tcW w:w="1695" w:type="dxa"/>
            <w:tcBorders>
              <w:top w:val="outset" w:sz="6" w:space="0" w:color="auto"/>
              <w:left w:val="outset" w:sz="6" w:space="0" w:color="auto"/>
              <w:bottom w:val="outset" w:sz="6" w:space="0" w:color="auto"/>
              <w:right w:val="outset" w:sz="6" w:space="0" w:color="auto"/>
            </w:tcBorders>
            <w:hideMark/>
          </w:tcPr>
          <w:p w14:paraId="2BD72C4C" w14:textId="77777777" w:rsidR="00964E24" w:rsidRPr="00964E24" w:rsidRDefault="00964E24" w:rsidP="00964E24">
            <w:pPr>
              <w:jc w:val="both"/>
              <w:rPr>
                <w:rFonts w:ascii="Times New Roman" w:eastAsia="Times New Roman" w:hAnsi="Times New Roman" w:cs="Times New Roman"/>
                <w:color w:val="0D0D0D" w:themeColor="text1" w:themeTint="F2"/>
              </w:rPr>
            </w:pPr>
            <w:r w:rsidRPr="00964E24">
              <w:rPr>
                <w:rFonts w:ascii="Times New Roman" w:eastAsia="Times New Roman" w:hAnsi="Times New Roman" w:cs="Times New Roman"/>
                <w:b/>
                <w:bCs/>
                <w:color w:val="0D0D0D" w:themeColor="text1" w:themeTint="F2"/>
              </w:rPr>
              <w:t>Năm</w:t>
            </w:r>
          </w:p>
        </w:tc>
        <w:tc>
          <w:tcPr>
            <w:tcW w:w="1140" w:type="dxa"/>
            <w:tcBorders>
              <w:top w:val="outset" w:sz="6" w:space="0" w:color="auto"/>
              <w:left w:val="outset" w:sz="6" w:space="0" w:color="auto"/>
              <w:bottom w:val="outset" w:sz="6" w:space="0" w:color="auto"/>
              <w:right w:val="outset" w:sz="6" w:space="0" w:color="auto"/>
            </w:tcBorders>
            <w:hideMark/>
          </w:tcPr>
          <w:p w14:paraId="78CB25AA" w14:textId="77777777" w:rsidR="00964E24" w:rsidRPr="00964E24" w:rsidRDefault="00964E24" w:rsidP="00964E24">
            <w:pPr>
              <w:jc w:val="both"/>
              <w:rPr>
                <w:rFonts w:ascii="Times New Roman" w:eastAsia="Times New Roman" w:hAnsi="Times New Roman" w:cs="Times New Roman"/>
                <w:color w:val="0D0D0D" w:themeColor="text1" w:themeTint="F2"/>
              </w:rPr>
            </w:pPr>
            <w:r w:rsidRPr="00964E24">
              <w:rPr>
                <w:rFonts w:ascii="Times New Roman" w:eastAsia="Times New Roman" w:hAnsi="Times New Roman" w:cs="Times New Roman"/>
                <w:b/>
                <w:bCs/>
                <w:color w:val="0D0D0D" w:themeColor="text1" w:themeTint="F2"/>
              </w:rPr>
              <w:t>2009</w:t>
            </w:r>
          </w:p>
        </w:tc>
        <w:tc>
          <w:tcPr>
            <w:tcW w:w="1140" w:type="dxa"/>
            <w:tcBorders>
              <w:top w:val="outset" w:sz="6" w:space="0" w:color="auto"/>
              <w:left w:val="outset" w:sz="6" w:space="0" w:color="auto"/>
              <w:bottom w:val="outset" w:sz="6" w:space="0" w:color="auto"/>
              <w:right w:val="outset" w:sz="6" w:space="0" w:color="auto"/>
            </w:tcBorders>
            <w:hideMark/>
          </w:tcPr>
          <w:p w14:paraId="2470E498" w14:textId="77777777" w:rsidR="00964E24" w:rsidRPr="00964E24" w:rsidRDefault="00964E24" w:rsidP="00964E24">
            <w:pPr>
              <w:jc w:val="both"/>
              <w:rPr>
                <w:rFonts w:ascii="Times New Roman" w:eastAsia="Times New Roman" w:hAnsi="Times New Roman" w:cs="Times New Roman"/>
                <w:color w:val="0D0D0D" w:themeColor="text1" w:themeTint="F2"/>
              </w:rPr>
            </w:pPr>
            <w:r w:rsidRPr="00964E24">
              <w:rPr>
                <w:rFonts w:ascii="Times New Roman" w:eastAsia="Times New Roman" w:hAnsi="Times New Roman" w:cs="Times New Roman"/>
                <w:b/>
                <w:bCs/>
                <w:color w:val="0D0D0D" w:themeColor="text1" w:themeTint="F2"/>
              </w:rPr>
              <w:t>2010</w:t>
            </w:r>
          </w:p>
        </w:tc>
        <w:tc>
          <w:tcPr>
            <w:tcW w:w="990" w:type="dxa"/>
            <w:tcBorders>
              <w:top w:val="outset" w:sz="6" w:space="0" w:color="auto"/>
              <w:left w:val="outset" w:sz="6" w:space="0" w:color="auto"/>
              <w:bottom w:val="outset" w:sz="6" w:space="0" w:color="auto"/>
              <w:right w:val="outset" w:sz="6" w:space="0" w:color="auto"/>
            </w:tcBorders>
            <w:hideMark/>
          </w:tcPr>
          <w:p w14:paraId="19FE5C2F" w14:textId="77777777" w:rsidR="00964E24" w:rsidRPr="00964E24" w:rsidRDefault="00964E24" w:rsidP="00964E24">
            <w:pPr>
              <w:jc w:val="both"/>
              <w:rPr>
                <w:rFonts w:ascii="Times New Roman" w:eastAsia="Times New Roman" w:hAnsi="Times New Roman" w:cs="Times New Roman"/>
                <w:color w:val="0D0D0D" w:themeColor="text1" w:themeTint="F2"/>
              </w:rPr>
            </w:pPr>
            <w:r w:rsidRPr="00964E24">
              <w:rPr>
                <w:rFonts w:ascii="Times New Roman" w:eastAsia="Times New Roman" w:hAnsi="Times New Roman" w:cs="Times New Roman"/>
                <w:b/>
                <w:bCs/>
                <w:color w:val="0D0D0D" w:themeColor="text1" w:themeTint="F2"/>
              </w:rPr>
              <w:t>Tăng trưởng (%)</w:t>
            </w:r>
          </w:p>
        </w:tc>
        <w:tc>
          <w:tcPr>
            <w:tcW w:w="1275" w:type="dxa"/>
            <w:tcBorders>
              <w:top w:val="outset" w:sz="6" w:space="0" w:color="auto"/>
              <w:left w:val="outset" w:sz="6" w:space="0" w:color="auto"/>
              <w:bottom w:val="outset" w:sz="6" w:space="0" w:color="auto"/>
              <w:right w:val="outset" w:sz="6" w:space="0" w:color="auto"/>
            </w:tcBorders>
            <w:hideMark/>
          </w:tcPr>
          <w:p w14:paraId="4E233D0F" w14:textId="77777777" w:rsidR="00964E24" w:rsidRPr="00964E24" w:rsidRDefault="00964E24" w:rsidP="00964E24">
            <w:pPr>
              <w:jc w:val="both"/>
              <w:rPr>
                <w:rFonts w:ascii="Times New Roman" w:eastAsia="Times New Roman" w:hAnsi="Times New Roman" w:cs="Times New Roman"/>
                <w:color w:val="0D0D0D" w:themeColor="text1" w:themeTint="F2"/>
              </w:rPr>
            </w:pPr>
            <w:r w:rsidRPr="00964E24">
              <w:rPr>
                <w:rFonts w:ascii="Times New Roman" w:eastAsia="Times New Roman" w:hAnsi="Times New Roman" w:cs="Times New Roman"/>
                <w:b/>
                <w:bCs/>
                <w:color w:val="0D0D0D" w:themeColor="text1" w:themeTint="F2"/>
              </w:rPr>
              <w:t>2011</w:t>
            </w:r>
          </w:p>
        </w:tc>
        <w:tc>
          <w:tcPr>
            <w:tcW w:w="990" w:type="dxa"/>
            <w:tcBorders>
              <w:top w:val="outset" w:sz="6" w:space="0" w:color="auto"/>
              <w:left w:val="outset" w:sz="6" w:space="0" w:color="auto"/>
              <w:bottom w:val="outset" w:sz="6" w:space="0" w:color="auto"/>
              <w:right w:val="outset" w:sz="6" w:space="0" w:color="auto"/>
            </w:tcBorders>
            <w:hideMark/>
          </w:tcPr>
          <w:p w14:paraId="38EA34F4" w14:textId="77777777" w:rsidR="00964E24" w:rsidRPr="00964E24" w:rsidRDefault="00964E24" w:rsidP="00964E24">
            <w:pPr>
              <w:jc w:val="both"/>
              <w:rPr>
                <w:rFonts w:ascii="Times New Roman" w:eastAsia="Times New Roman" w:hAnsi="Times New Roman" w:cs="Times New Roman"/>
                <w:color w:val="0D0D0D" w:themeColor="text1" w:themeTint="F2"/>
              </w:rPr>
            </w:pPr>
            <w:r w:rsidRPr="00964E24">
              <w:rPr>
                <w:rFonts w:ascii="Times New Roman" w:eastAsia="Times New Roman" w:hAnsi="Times New Roman" w:cs="Times New Roman"/>
                <w:b/>
                <w:bCs/>
                <w:color w:val="0D0D0D" w:themeColor="text1" w:themeTint="F2"/>
              </w:rPr>
              <w:t>Tăng trưởng (%)</w:t>
            </w:r>
          </w:p>
        </w:tc>
        <w:tc>
          <w:tcPr>
            <w:tcW w:w="1275" w:type="dxa"/>
            <w:tcBorders>
              <w:top w:val="outset" w:sz="6" w:space="0" w:color="auto"/>
              <w:left w:val="outset" w:sz="6" w:space="0" w:color="auto"/>
              <w:bottom w:val="outset" w:sz="6" w:space="0" w:color="auto"/>
              <w:right w:val="outset" w:sz="6" w:space="0" w:color="auto"/>
            </w:tcBorders>
            <w:hideMark/>
          </w:tcPr>
          <w:p w14:paraId="0BFE3994" w14:textId="77777777" w:rsidR="00964E24" w:rsidRPr="00964E24" w:rsidRDefault="00964E24" w:rsidP="00964E24">
            <w:pPr>
              <w:jc w:val="both"/>
              <w:rPr>
                <w:rFonts w:ascii="Times New Roman" w:eastAsia="Times New Roman" w:hAnsi="Times New Roman" w:cs="Times New Roman"/>
                <w:color w:val="0D0D0D" w:themeColor="text1" w:themeTint="F2"/>
              </w:rPr>
            </w:pPr>
            <w:r w:rsidRPr="00964E24">
              <w:rPr>
                <w:rFonts w:ascii="Times New Roman" w:eastAsia="Times New Roman" w:hAnsi="Times New Roman" w:cs="Times New Roman"/>
                <w:b/>
                <w:bCs/>
                <w:color w:val="0D0D0D" w:themeColor="text1" w:themeTint="F2"/>
              </w:rPr>
              <w:t>2012</w:t>
            </w:r>
          </w:p>
        </w:tc>
        <w:tc>
          <w:tcPr>
            <w:tcW w:w="990" w:type="dxa"/>
            <w:tcBorders>
              <w:top w:val="outset" w:sz="6" w:space="0" w:color="auto"/>
              <w:left w:val="outset" w:sz="6" w:space="0" w:color="auto"/>
              <w:bottom w:val="outset" w:sz="6" w:space="0" w:color="auto"/>
              <w:right w:val="outset" w:sz="6" w:space="0" w:color="auto"/>
            </w:tcBorders>
            <w:hideMark/>
          </w:tcPr>
          <w:p w14:paraId="32F39A70" w14:textId="77777777" w:rsidR="00964E24" w:rsidRPr="00964E24" w:rsidRDefault="00964E24" w:rsidP="00964E24">
            <w:pPr>
              <w:jc w:val="both"/>
              <w:rPr>
                <w:rFonts w:ascii="Times New Roman" w:eastAsia="Times New Roman" w:hAnsi="Times New Roman" w:cs="Times New Roman"/>
                <w:color w:val="0D0D0D" w:themeColor="text1" w:themeTint="F2"/>
              </w:rPr>
            </w:pPr>
            <w:r w:rsidRPr="00964E24">
              <w:rPr>
                <w:rFonts w:ascii="Times New Roman" w:eastAsia="Times New Roman" w:hAnsi="Times New Roman" w:cs="Times New Roman"/>
                <w:b/>
                <w:bCs/>
                <w:color w:val="0D0D0D" w:themeColor="text1" w:themeTint="F2"/>
              </w:rPr>
              <w:t>Tăng trưởng (%)</w:t>
            </w:r>
          </w:p>
        </w:tc>
        <w:tc>
          <w:tcPr>
            <w:tcW w:w="1275" w:type="dxa"/>
            <w:tcBorders>
              <w:top w:val="outset" w:sz="6" w:space="0" w:color="auto"/>
              <w:left w:val="outset" w:sz="6" w:space="0" w:color="auto"/>
              <w:bottom w:val="outset" w:sz="6" w:space="0" w:color="auto"/>
              <w:right w:val="outset" w:sz="6" w:space="0" w:color="auto"/>
            </w:tcBorders>
            <w:hideMark/>
          </w:tcPr>
          <w:p w14:paraId="467892F4" w14:textId="77777777" w:rsidR="00964E24" w:rsidRPr="00964E24" w:rsidRDefault="00964E24" w:rsidP="00964E24">
            <w:pPr>
              <w:jc w:val="both"/>
              <w:rPr>
                <w:rFonts w:ascii="Times New Roman" w:eastAsia="Times New Roman" w:hAnsi="Times New Roman" w:cs="Times New Roman"/>
                <w:color w:val="0D0D0D" w:themeColor="text1" w:themeTint="F2"/>
              </w:rPr>
            </w:pPr>
            <w:r w:rsidRPr="00964E24">
              <w:rPr>
                <w:rFonts w:ascii="Times New Roman" w:eastAsia="Times New Roman" w:hAnsi="Times New Roman" w:cs="Times New Roman"/>
                <w:b/>
                <w:bCs/>
                <w:color w:val="0D0D0D" w:themeColor="text1" w:themeTint="F2"/>
              </w:rPr>
              <w:t>2013</w:t>
            </w:r>
          </w:p>
        </w:tc>
        <w:tc>
          <w:tcPr>
            <w:tcW w:w="990" w:type="dxa"/>
            <w:tcBorders>
              <w:top w:val="outset" w:sz="6" w:space="0" w:color="auto"/>
              <w:left w:val="outset" w:sz="6" w:space="0" w:color="auto"/>
              <w:bottom w:val="outset" w:sz="6" w:space="0" w:color="auto"/>
              <w:right w:val="outset" w:sz="6" w:space="0" w:color="auto"/>
            </w:tcBorders>
            <w:hideMark/>
          </w:tcPr>
          <w:p w14:paraId="1AAA736F" w14:textId="77777777" w:rsidR="00964E24" w:rsidRPr="00964E24" w:rsidRDefault="00964E24" w:rsidP="00964E24">
            <w:pPr>
              <w:jc w:val="both"/>
              <w:rPr>
                <w:rFonts w:ascii="Times New Roman" w:eastAsia="Times New Roman" w:hAnsi="Times New Roman" w:cs="Times New Roman"/>
                <w:color w:val="0D0D0D" w:themeColor="text1" w:themeTint="F2"/>
              </w:rPr>
            </w:pPr>
            <w:r w:rsidRPr="00964E24">
              <w:rPr>
                <w:rFonts w:ascii="Times New Roman" w:eastAsia="Times New Roman" w:hAnsi="Times New Roman" w:cs="Times New Roman"/>
                <w:b/>
                <w:bCs/>
                <w:color w:val="0D0D0D" w:themeColor="text1" w:themeTint="F2"/>
              </w:rPr>
              <w:t>Tăng trưởng (%)</w:t>
            </w:r>
          </w:p>
        </w:tc>
      </w:tr>
      <w:tr w:rsidR="00964E24" w:rsidRPr="00964E24" w14:paraId="5CC2A8D7" w14:textId="77777777" w:rsidTr="00964E24">
        <w:trPr>
          <w:tblCellSpacing w:w="0" w:type="dxa"/>
        </w:trPr>
        <w:tc>
          <w:tcPr>
            <w:tcW w:w="1695" w:type="dxa"/>
            <w:tcBorders>
              <w:top w:val="outset" w:sz="6" w:space="0" w:color="auto"/>
              <w:left w:val="outset" w:sz="6" w:space="0" w:color="auto"/>
              <w:bottom w:val="outset" w:sz="6" w:space="0" w:color="auto"/>
              <w:right w:val="outset" w:sz="6" w:space="0" w:color="auto"/>
            </w:tcBorders>
            <w:hideMark/>
          </w:tcPr>
          <w:p w14:paraId="649405FA" w14:textId="77777777" w:rsidR="00964E24" w:rsidRPr="00964E24" w:rsidRDefault="00964E24" w:rsidP="00964E24">
            <w:pPr>
              <w:jc w:val="both"/>
              <w:rPr>
                <w:rFonts w:ascii="Times New Roman" w:eastAsia="Times New Roman" w:hAnsi="Times New Roman" w:cs="Times New Roman"/>
                <w:color w:val="0D0D0D" w:themeColor="text1" w:themeTint="F2"/>
              </w:rPr>
            </w:pPr>
            <w:r w:rsidRPr="00964E24">
              <w:rPr>
                <w:rFonts w:ascii="Times New Roman" w:eastAsia="Times New Roman" w:hAnsi="Times New Roman" w:cs="Times New Roman"/>
                <w:b/>
                <w:bCs/>
                <w:color w:val="0D0D0D" w:themeColor="text1" w:themeTint="F2"/>
              </w:rPr>
              <w:t>Kim ngạch xuất khẩu</w:t>
            </w:r>
          </w:p>
        </w:tc>
        <w:tc>
          <w:tcPr>
            <w:tcW w:w="1140" w:type="dxa"/>
            <w:tcBorders>
              <w:top w:val="outset" w:sz="6" w:space="0" w:color="auto"/>
              <w:left w:val="outset" w:sz="6" w:space="0" w:color="auto"/>
              <w:bottom w:val="outset" w:sz="6" w:space="0" w:color="auto"/>
              <w:right w:val="outset" w:sz="6" w:space="0" w:color="auto"/>
            </w:tcBorders>
            <w:hideMark/>
          </w:tcPr>
          <w:p w14:paraId="1DB6372B" w14:textId="77777777" w:rsidR="00964E24" w:rsidRPr="00964E24" w:rsidRDefault="00964E24" w:rsidP="00964E24">
            <w:pPr>
              <w:jc w:val="both"/>
              <w:rPr>
                <w:rFonts w:ascii="Times New Roman" w:eastAsia="Times New Roman" w:hAnsi="Times New Roman" w:cs="Times New Roman"/>
                <w:color w:val="0D0D0D" w:themeColor="text1" w:themeTint="F2"/>
              </w:rPr>
            </w:pPr>
            <w:r w:rsidRPr="00964E24">
              <w:rPr>
                <w:rFonts w:ascii="Times New Roman" w:eastAsia="Times New Roman" w:hAnsi="Times New Roman" w:cs="Times New Roman"/>
                <w:color w:val="0D0D0D" w:themeColor="text1" w:themeTint="F2"/>
              </w:rPr>
              <w:t>192.298</w:t>
            </w:r>
          </w:p>
        </w:tc>
        <w:tc>
          <w:tcPr>
            <w:tcW w:w="1140" w:type="dxa"/>
            <w:tcBorders>
              <w:top w:val="outset" w:sz="6" w:space="0" w:color="auto"/>
              <w:left w:val="outset" w:sz="6" w:space="0" w:color="auto"/>
              <w:bottom w:val="outset" w:sz="6" w:space="0" w:color="auto"/>
              <w:right w:val="outset" w:sz="6" w:space="0" w:color="auto"/>
            </w:tcBorders>
            <w:hideMark/>
          </w:tcPr>
          <w:p w14:paraId="726F1CF2" w14:textId="77777777" w:rsidR="00964E24" w:rsidRPr="00964E24" w:rsidRDefault="00964E24" w:rsidP="00964E24">
            <w:pPr>
              <w:jc w:val="both"/>
              <w:rPr>
                <w:rFonts w:ascii="Times New Roman" w:eastAsia="Times New Roman" w:hAnsi="Times New Roman" w:cs="Times New Roman"/>
                <w:color w:val="0D0D0D" w:themeColor="text1" w:themeTint="F2"/>
              </w:rPr>
            </w:pPr>
            <w:r w:rsidRPr="00964E24">
              <w:rPr>
                <w:rFonts w:ascii="Times New Roman" w:eastAsia="Times New Roman" w:hAnsi="Times New Roman" w:cs="Times New Roman"/>
                <w:color w:val="0D0D0D" w:themeColor="text1" w:themeTint="F2"/>
              </w:rPr>
              <w:t>251.143</w:t>
            </w:r>
          </w:p>
        </w:tc>
        <w:tc>
          <w:tcPr>
            <w:tcW w:w="990" w:type="dxa"/>
            <w:tcBorders>
              <w:top w:val="outset" w:sz="6" w:space="0" w:color="auto"/>
              <w:left w:val="outset" w:sz="6" w:space="0" w:color="auto"/>
              <w:bottom w:val="outset" w:sz="6" w:space="0" w:color="auto"/>
              <w:right w:val="outset" w:sz="6" w:space="0" w:color="auto"/>
            </w:tcBorders>
            <w:hideMark/>
          </w:tcPr>
          <w:p w14:paraId="2BB67630" w14:textId="77777777" w:rsidR="00964E24" w:rsidRPr="00964E24" w:rsidRDefault="00964E24" w:rsidP="00964E24">
            <w:pPr>
              <w:jc w:val="both"/>
              <w:rPr>
                <w:rFonts w:ascii="Times New Roman" w:eastAsia="Times New Roman" w:hAnsi="Times New Roman" w:cs="Times New Roman"/>
                <w:color w:val="0D0D0D" w:themeColor="text1" w:themeTint="F2"/>
              </w:rPr>
            </w:pPr>
            <w:r w:rsidRPr="00964E24">
              <w:rPr>
                <w:rFonts w:ascii="Times New Roman" w:eastAsia="Times New Roman" w:hAnsi="Times New Roman" w:cs="Times New Roman"/>
                <w:color w:val="0D0D0D" w:themeColor="text1" w:themeTint="F2"/>
              </w:rPr>
              <w:t>30,6</w:t>
            </w:r>
          </w:p>
        </w:tc>
        <w:tc>
          <w:tcPr>
            <w:tcW w:w="1275" w:type="dxa"/>
            <w:tcBorders>
              <w:top w:val="outset" w:sz="6" w:space="0" w:color="auto"/>
              <w:left w:val="outset" w:sz="6" w:space="0" w:color="auto"/>
              <w:bottom w:val="outset" w:sz="6" w:space="0" w:color="auto"/>
              <w:right w:val="outset" w:sz="6" w:space="0" w:color="auto"/>
            </w:tcBorders>
            <w:hideMark/>
          </w:tcPr>
          <w:p w14:paraId="11E0D619" w14:textId="77777777" w:rsidR="00964E24" w:rsidRPr="00964E24" w:rsidRDefault="00964E24" w:rsidP="00964E24">
            <w:pPr>
              <w:jc w:val="both"/>
              <w:rPr>
                <w:rFonts w:ascii="Times New Roman" w:eastAsia="Times New Roman" w:hAnsi="Times New Roman" w:cs="Times New Roman"/>
                <w:color w:val="0D0D0D" w:themeColor="text1" w:themeTint="F2"/>
              </w:rPr>
            </w:pPr>
            <w:r w:rsidRPr="00964E24">
              <w:rPr>
                <w:rFonts w:ascii="Times New Roman" w:eastAsia="Times New Roman" w:hAnsi="Times New Roman" w:cs="Times New Roman"/>
                <w:color w:val="0D0D0D" w:themeColor="text1" w:themeTint="F2"/>
              </w:rPr>
              <w:t>364.699</w:t>
            </w:r>
          </w:p>
        </w:tc>
        <w:tc>
          <w:tcPr>
            <w:tcW w:w="990" w:type="dxa"/>
            <w:tcBorders>
              <w:top w:val="outset" w:sz="6" w:space="0" w:color="auto"/>
              <w:left w:val="outset" w:sz="6" w:space="0" w:color="auto"/>
              <w:bottom w:val="outset" w:sz="6" w:space="0" w:color="auto"/>
              <w:right w:val="outset" w:sz="6" w:space="0" w:color="auto"/>
            </w:tcBorders>
            <w:hideMark/>
          </w:tcPr>
          <w:p w14:paraId="79823B92" w14:textId="77777777" w:rsidR="00964E24" w:rsidRPr="00964E24" w:rsidRDefault="00964E24" w:rsidP="00964E24">
            <w:pPr>
              <w:jc w:val="both"/>
              <w:rPr>
                <w:rFonts w:ascii="Times New Roman" w:eastAsia="Times New Roman" w:hAnsi="Times New Roman" w:cs="Times New Roman"/>
                <w:color w:val="0D0D0D" w:themeColor="text1" w:themeTint="F2"/>
              </w:rPr>
            </w:pPr>
            <w:r w:rsidRPr="00964E24">
              <w:rPr>
                <w:rFonts w:ascii="Times New Roman" w:eastAsia="Times New Roman" w:hAnsi="Times New Roman" w:cs="Times New Roman"/>
                <w:color w:val="0D0D0D" w:themeColor="text1" w:themeTint="F2"/>
              </w:rPr>
              <w:t>45,2</w:t>
            </w:r>
          </w:p>
        </w:tc>
        <w:tc>
          <w:tcPr>
            <w:tcW w:w="1275" w:type="dxa"/>
            <w:tcBorders>
              <w:top w:val="outset" w:sz="6" w:space="0" w:color="auto"/>
              <w:left w:val="outset" w:sz="6" w:space="0" w:color="auto"/>
              <w:bottom w:val="outset" w:sz="6" w:space="0" w:color="auto"/>
              <w:right w:val="outset" w:sz="6" w:space="0" w:color="auto"/>
            </w:tcBorders>
            <w:hideMark/>
          </w:tcPr>
          <w:p w14:paraId="14343C9D" w14:textId="77777777" w:rsidR="00964E24" w:rsidRPr="00964E24" w:rsidRDefault="00964E24" w:rsidP="00964E24">
            <w:pPr>
              <w:jc w:val="both"/>
              <w:rPr>
                <w:rFonts w:ascii="Times New Roman" w:eastAsia="Times New Roman" w:hAnsi="Times New Roman" w:cs="Times New Roman"/>
                <w:color w:val="0D0D0D" w:themeColor="text1" w:themeTint="F2"/>
              </w:rPr>
            </w:pPr>
            <w:r w:rsidRPr="00964E24">
              <w:rPr>
                <w:rFonts w:ascii="Times New Roman" w:eastAsia="Times New Roman" w:hAnsi="Times New Roman" w:cs="Times New Roman"/>
                <w:color w:val="0D0D0D" w:themeColor="text1" w:themeTint="F2"/>
              </w:rPr>
              <w:t>388.401</w:t>
            </w:r>
          </w:p>
        </w:tc>
        <w:tc>
          <w:tcPr>
            <w:tcW w:w="990" w:type="dxa"/>
            <w:tcBorders>
              <w:top w:val="outset" w:sz="6" w:space="0" w:color="auto"/>
              <w:left w:val="outset" w:sz="6" w:space="0" w:color="auto"/>
              <w:bottom w:val="outset" w:sz="6" w:space="0" w:color="auto"/>
              <w:right w:val="outset" w:sz="6" w:space="0" w:color="auto"/>
            </w:tcBorders>
            <w:hideMark/>
          </w:tcPr>
          <w:p w14:paraId="33060E28" w14:textId="77777777" w:rsidR="00964E24" w:rsidRPr="00964E24" w:rsidRDefault="00964E24" w:rsidP="00964E24">
            <w:pPr>
              <w:jc w:val="both"/>
              <w:rPr>
                <w:rFonts w:ascii="Times New Roman" w:eastAsia="Times New Roman" w:hAnsi="Times New Roman" w:cs="Times New Roman"/>
                <w:color w:val="0D0D0D" w:themeColor="text1" w:themeTint="F2"/>
              </w:rPr>
            </w:pPr>
            <w:r w:rsidRPr="00964E24">
              <w:rPr>
                <w:rFonts w:ascii="Times New Roman" w:eastAsia="Times New Roman" w:hAnsi="Times New Roman" w:cs="Times New Roman"/>
                <w:color w:val="0D0D0D" w:themeColor="text1" w:themeTint="F2"/>
              </w:rPr>
              <w:t>6,5</w:t>
            </w:r>
          </w:p>
        </w:tc>
        <w:tc>
          <w:tcPr>
            <w:tcW w:w="1275" w:type="dxa"/>
            <w:tcBorders>
              <w:top w:val="outset" w:sz="6" w:space="0" w:color="auto"/>
              <w:left w:val="outset" w:sz="6" w:space="0" w:color="auto"/>
              <w:bottom w:val="outset" w:sz="6" w:space="0" w:color="auto"/>
              <w:right w:val="outset" w:sz="6" w:space="0" w:color="auto"/>
            </w:tcBorders>
            <w:hideMark/>
          </w:tcPr>
          <w:p w14:paraId="0A59D413" w14:textId="77777777" w:rsidR="00964E24" w:rsidRPr="00964E24" w:rsidRDefault="00964E24" w:rsidP="00964E24">
            <w:pPr>
              <w:jc w:val="both"/>
              <w:rPr>
                <w:rFonts w:ascii="Times New Roman" w:eastAsia="Times New Roman" w:hAnsi="Times New Roman" w:cs="Times New Roman"/>
                <w:color w:val="0D0D0D" w:themeColor="text1" w:themeTint="F2"/>
              </w:rPr>
            </w:pPr>
            <w:r w:rsidRPr="00964E24">
              <w:rPr>
                <w:rFonts w:ascii="Times New Roman" w:eastAsia="Times New Roman" w:hAnsi="Times New Roman" w:cs="Times New Roman"/>
                <w:color w:val="0D0D0D" w:themeColor="text1" w:themeTint="F2"/>
              </w:rPr>
              <w:t>376.300</w:t>
            </w:r>
          </w:p>
        </w:tc>
        <w:tc>
          <w:tcPr>
            <w:tcW w:w="990" w:type="dxa"/>
            <w:tcBorders>
              <w:top w:val="outset" w:sz="6" w:space="0" w:color="auto"/>
              <w:left w:val="outset" w:sz="6" w:space="0" w:color="auto"/>
              <w:bottom w:val="outset" w:sz="6" w:space="0" w:color="auto"/>
              <w:right w:val="outset" w:sz="6" w:space="0" w:color="auto"/>
            </w:tcBorders>
            <w:hideMark/>
          </w:tcPr>
          <w:p w14:paraId="33299194" w14:textId="77777777" w:rsidR="00964E24" w:rsidRPr="00964E24" w:rsidRDefault="00964E24" w:rsidP="00964E24">
            <w:pPr>
              <w:jc w:val="both"/>
              <w:rPr>
                <w:rFonts w:ascii="Times New Roman" w:eastAsia="Times New Roman" w:hAnsi="Times New Roman" w:cs="Times New Roman"/>
                <w:color w:val="0D0D0D" w:themeColor="text1" w:themeTint="F2"/>
              </w:rPr>
            </w:pPr>
            <w:r w:rsidRPr="00964E24">
              <w:rPr>
                <w:rFonts w:ascii="Times New Roman" w:eastAsia="Times New Roman" w:hAnsi="Times New Roman" w:cs="Times New Roman"/>
                <w:color w:val="0D0D0D" w:themeColor="text1" w:themeTint="F2"/>
              </w:rPr>
              <w:t>- 3,1</w:t>
            </w:r>
          </w:p>
        </w:tc>
      </w:tr>
      <w:tr w:rsidR="00964E24" w:rsidRPr="00964E24" w14:paraId="11A09FF2" w14:textId="77777777" w:rsidTr="00964E24">
        <w:trPr>
          <w:tblCellSpacing w:w="0" w:type="dxa"/>
        </w:trPr>
        <w:tc>
          <w:tcPr>
            <w:tcW w:w="1695" w:type="dxa"/>
            <w:tcBorders>
              <w:top w:val="outset" w:sz="6" w:space="0" w:color="auto"/>
              <w:left w:val="outset" w:sz="6" w:space="0" w:color="auto"/>
              <w:bottom w:val="outset" w:sz="6" w:space="0" w:color="auto"/>
              <w:right w:val="outset" w:sz="6" w:space="0" w:color="auto"/>
            </w:tcBorders>
            <w:hideMark/>
          </w:tcPr>
          <w:p w14:paraId="32D42449" w14:textId="77777777" w:rsidR="00964E24" w:rsidRPr="00964E24" w:rsidRDefault="00964E24" w:rsidP="00964E24">
            <w:pPr>
              <w:jc w:val="both"/>
              <w:rPr>
                <w:rFonts w:ascii="Times New Roman" w:eastAsia="Times New Roman" w:hAnsi="Times New Roman" w:cs="Times New Roman"/>
                <w:color w:val="0D0D0D" w:themeColor="text1" w:themeTint="F2"/>
              </w:rPr>
            </w:pPr>
            <w:r w:rsidRPr="00964E24">
              <w:rPr>
                <w:rFonts w:ascii="Times New Roman" w:eastAsia="Times New Roman" w:hAnsi="Times New Roman" w:cs="Times New Roman"/>
                <w:b/>
                <w:bCs/>
                <w:color w:val="0D0D0D" w:themeColor="text1" w:themeTint="F2"/>
              </w:rPr>
              <w:t>Kim ngạch nhập khẩu</w:t>
            </w:r>
          </w:p>
        </w:tc>
        <w:tc>
          <w:tcPr>
            <w:tcW w:w="1140" w:type="dxa"/>
            <w:tcBorders>
              <w:top w:val="outset" w:sz="6" w:space="0" w:color="auto"/>
              <w:left w:val="outset" w:sz="6" w:space="0" w:color="auto"/>
              <w:bottom w:val="outset" w:sz="6" w:space="0" w:color="auto"/>
              <w:right w:val="outset" w:sz="6" w:space="0" w:color="auto"/>
            </w:tcBorders>
            <w:hideMark/>
          </w:tcPr>
          <w:p w14:paraId="0F80D8BE" w14:textId="77777777" w:rsidR="00964E24" w:rsidRPr="00964E24" w:rsidRDefault="00964E24" w:rsidP="00964E24">
            <w:pPr>
              <w:jc w:val="both"/>
              <w:rPr>
                <w:rFonts w:ascii="Times New Roman" w:eastAsia="Times New Roman" w:hAnsi="Times New Roman" w:cs="Times New Roman"/>
                <w:color w:val="0D0D0D" w:themeColor="text1" w:themeTint="F2"/>
              </w:rPr>
            </w:pPr>
            <w:r w:rsidRPr="00964E24">
              <w:rPr>
                <w:rFonts w:ascii="Times New Roman" w:eastAsia="Times New Roman" w:hAnsi="Times New Roman" w:cs="Times New Roman"/>
                <w:color w:val="0D0D0D" w:themeColor="text1" w:themeTint="F2"/>
              </w:rPr>
              <w:t>95.544</w:t>
            </w:r>
          </w:p>
        </w:tc>
        <w:tc>
          <w:tcPr>
            <w:tcW w:w="1140" w:type="dxa"/>
            <w:tcBorders>
              <w:top w:val="outset" w:sz="6" w:space="0" w:color="auto"/>
              <w:left w:val="outset" w:sz="6" w:space="0" w:color="auto"/>
              <w:bottom w:val="outset" w:sz="6" w:space="0" w:color="auto"/>
              <w:right w:val="outset" w:sz="6" w:space="0" w:color="auto"/>
            </w:tcBorders>
            <w:hideMark/>
          </w:tcPr>
          <w:p w14:paraId="5D07AACB" w14:textId="77777777" w:rsidR="00964E24" w:rsidRPr="00964E24" w:rsidRDefault="00964E24" w:rsidP="00964E24">
            <w:pPr>
              <w:jc w:val="both"/>
              <w:rPr>
                <w:rFonts w:ascii="Times New Roman" w:eastAsia="Times New Roman" w:hAnsi="Times New Roman" w:cs="Times New Roman"/>
                <w:color w:val="0D0D0D" w:themeColor="text1" w:themeTint="F2"/>
              </w:rPr>
            </w:pPr>
            <w:r w:rsidRPr="00964E24">
              <w:rPr>
                <w:rFonts w:ascii="Times New Roman" w:eastAsia="Times New Roman" w:hAnsi="Times New Roman" w:cs="Times New Roman"/>
                <w:color w:val="0D0D0D" w:themeColor="text1" w:themeTint="F2"/>
              </w:rPr>
              <w:t>106.863</w:t>
            </w:r>
          </w:p>
        </w:tc>
        <w:tc>
          <w:tcPr>
            <w:tcW w:w="990" w:type="dxa"/>
            <w:tcBorders>
              <w:top w:val="outset" w:sz="6" w:space="0" w:color="auto"/>
              <w:left w:val="outset" w:sz="6" w:space="0" w:color="auto"/>
              <w:bottom w:val="outset" w:sz="6" w:space="0" w:color="auto"/>
              <w:right w:val="outset" w:sz="6" w:space="0" w:color="auto"/>
            </w:tcBorders>
            <w:hideMark/>
          </w:tcPr>
          <w:p w14:paraId="0A300950" w14:textId="77777777" w:rsidR="00964E24" w:rsidRPr="00964E24" w:rsidRDefault="00964E24" w:rsidP="00964E24">
            <w:pPr>
              <w:jc w:val="both"/>
              <w:rPr>
                <w:rFonts w:ascii="Times New Roman" w:eastAsia="Times New Roman" w:hAnsi="Times New Roman" w:cs="Times New Roman"/>
                <w:color w:val="0D0D0D" w:themeColor="text1" w:themeTint="F2"/>
              </w:rPr>
            </w:pPr>
            <w:r w:rsidRPr="00964E24">
              <w:rPr>
                <w:rFonts w:ascii="Times New Roman" w:eastAsia="Times New Roman" w:hAnsi="Times New Roman" w:cs="Times New Roman"/>
                <w:color w:val="0D0D0D" w:themeColor="text1" w:themeTint="F2"/>
              </w:rPr>
              <w:t>11,8</w:t>
            </w:r>
          </w:p>
        </w:tc>
        <w:tc>
          <w:tcPr>
            <w:tcW w:w="1275" w:type="dxa"/>
            <w:tcBorders>
              <w:top w:val="outset" w:sz="6" w:space="0" w:color="auto"/>
              <w:left w:val="outset" w:sz="6" w:space="0" w:color="auto"/>
              <w:bottom w:val="outset" w:sz="6" w:space="0" w:color="auto"/>
              <w:right w:val="outset" w:sz="6" w:space="0" w:color="auto"/>
            </w:tcBorders>
            <w:hideMark/>
          </w:tcPr>
          <w:p w14:paraId="6FE1F430" w14:textId="77777777" w:rsidR="00964E24" w:rsidRPr="00964E24" w:rsidRDefault="00964E24" w:rsidP="00964E24">
            <w:pPr>
              <w:jc w:val="both"/>
              <w:rPr>
                <w:rFonts w:ascii="Times New Roman" w:eastAsia="Times New Roman" w:hAnsi="Times New Roman" w:cs="Times New Roman"/>
                <w:color w:val="0D0D0D" w:themeColor="text1" w:themeTint="F2"/>
              </w:rPr>
            </w:pPr>
            <w:r w:rsidRPr="00964E24">
              <w:rPr>
                <w:rFonts w:ascii="Times New Roman" w:eastAsia="Times New Roman" w:hAnsi="Times New Roman" w:cs="Times New Roman"/>
                <w:color w:val="0D0D0D" w:themeColor="text1" w:themeTint="F2"/>
              </w:rPr>
              <w:t>131.586</w:t>
            </w:r>
          </w:p>
        </w:tc>
        <w:tc>
          <w:tcPr>
            <w:tcW w:w="990" w:type="dxa"/>
            <w:tcBorders>
              <w:top w:val="outset" w:sz="6" w:space="0" w:color="auto"/>
              <w:left w:val="outset" w:sz="6" w:space="0" w:color="auto"/>
              <w:bottom w:val="outset" w:sz="6" w:space="0" w:color="auto"/>
              <w:right w:val="outset" w:sz="6" w:space="0" w:color="auto"/>
            </w:tcBorders>
            <w:hideMark/>
          </w:tcPr>
          <w:p w14:paraId="4A61C322" w14:textId="77777777" w:rsidR="00964E24" w:rsidRPr="00964E24" w:rsidRDefault="00964E24" w:rsidP="00964E24">
            <w:pPr>
              <w:jc w:val="both"/>
              <w:rPr>
                <w:rFonts w:ascii="Times New Roman" w:eastAsia="Times New Roman" w:hAnsi="Times New Roman" w:cs="Times New Roman"/>
                <w:color w:val="0D0D0D" w:themeColor="text1" w:themeTint="F2"/>
              </w:rPr>
            </w:pPr>
            <w:r w:rsidRPr="00964E24">
              <w:rPr>
                <w:rFonts w:ascii="Times New Roman" w:eastAsia="Times New Roman" w:hAnsi="Times New Roman" w:cs="Times New Roman"/>
                <w:color w:val="0D0D0D" w:themeColor="text1" w:themeTint="F2"/>
              </w:rPr>
              <w:t>23,1</w:t>
            </w:r>
          </w:p>
        </w:tc>
        <w:tc>
          <w:tcPr>
            <w:tcW w:w="1275" w:type="dxa"/>
            <w:tcBorders>
              <w:top w:val="outset" w:sz="6" w:space="0" w:color="auto"/>
              <w:left w:val="outset" w:sz="6" w:space="0" w:color="auto"/>
              <w:bottom w:val="outset" w:sz="6" w:space="0" w:color="auto"/>
              <w:right w:val="outset" w:sz="6" w:space="0" w:color="auto"/>
            </w:tcBorders>
            <w:hideMark/>
          </w:tcPr>
          <w:p w14:paraId="2387C632" w14:textId="77777777" w:rsidR="00964E24" w:rsidRPr="00964E24" w:rsidRDefault="00964E24" w:rsidP="00964E24">
            <w:pPr>
              <w:jc w:val="both"/>
              <w:rPr>
                <w:rFonts w:ascii="Times New Roman" w:eastAsia="Times New Roman" w:hAnsi="Times New Roman" w:cs="Times New Roman"/>
                <w:color w:val="0D0D0D" w:themeColor="text1" w:themeTint="F2"/>
              </w:rPr>
            </w:pPr>
            <w:r w:rsidRPr="00964E24">
              <w:rPr>
                <w:rFonts w:ascii="Times New Roman" w:eastAsia="Times New Roman" w:hAnsi="Times New Roman" w:cs="Times New Roman"/>
                <w:color w:val="0D0D0D" w:themeColor="text1" w:themeTint="F2"/>
              </w:rPr>
              <w:t>155.593</w:t>
            </w:r>
          </w:p>
        </w:tc>
        <w:tc>
          <w:tcPr>
            <w:tcW w:w="990" w:type="dxa"/>
            <w:tcBorders>
              <w:top w:val="outset" w:sz="6" w:space="0" w:color="auto"/>
              <w:left w:val="outset" w:sz="6" w:space="0" w:color="auto"/>
              <w:bottom w:val="outset" w:sz="6" w:space="0" w:color="auto"/>
              <w:right w:val="outset" w:sz="6" w:space="0" w:color="auto"/>
            </w:tcBorders>
            <w:hideMark/>
          </w:tcPr>
          <w:p w14:paraId="2ACB33A6" w14:textId="77777777" w:rsidR="00964E24" w:rsidRPr="00964E24" w:rsidRDefault="00964E24" w:rsidP="00964E24">
            <w:pPr>
              <w:jc w:val="both"/>
              <w:rPr>
                <w:rFonts w:ascii="Times New Roman" w:eastAsia="Times New Roman" w:hAnsi="Times New Roman" w:cs="Times New Roman"/>
                <w:color w:val="0D0D0D" w:themeColor="text1" w:themeTint="F2"/>
              </w:rPr>
            </w:pPr>
            <w:r w:rsidRPr="00964E24">
              <w:rPr>
                <w:rFonts w:ascii="Times New Roman" w:eastAsia="Times New Roman" w:hAnsi="Times New Roman" w:cs="Times New Roman"/>
                <w:color w:val="0D0D0D" w:themeColor="text1" w:themeTint="F2"/>
              </w:rPr>
              <w:t>18,2</w:t>
            </w:r>
          </w:p>
        </w:tc>
        <w:tc>
          <w:tcPr>
            <w:tcW w:w="1275" w:type="dxa"/>
            <w:tcBorders>
              <w:top w:val="outset" w:sz="6" w:space="0" w:color="auto"/>
              <w:left w:val="outset" w:sz="6" w:space="0" w:color="auto"/>
              <w:bottom w:val="outset" w:sz="6" w:space="0" w:color="auto"/>
              <w:right w:val="outset" w:sz="6" w:space="0" w:color="auto"/>
            </w:tcBorders>
            <w:hideMark/>
          </w:tcPr>
          <w:p w14:paraId="508925B8" w14:textId="77777777" w:rsidR="00964E24" w:rsidRPr="00964E24" w:rsidRDefault="00964E24" w:rsidP="00964E24">
            <w:pPr>
              <w:jc w:val="both"/>
              <w:rPr>
                <w:rFonts w:ascii="Times New Roman" w:eastAsia="Times New Roman" w:hAnsi="Times New Roman" w:cs="Times New Roman"/>
                <w:color w:val="0D0D0D" w:themeColor="text1" w:themeTint="F2"/>
              </w:rPr>
            </w:pPr>
            <w:r w:rsidRPr="00964E24">
              <w:rPr>
                <w:rFonts w:ascii="Times New Roman" w:eastAsia="Times New Roman" w:hAnsi="Times New Roman" w:cs="Times New Roman"/>
                <w:color w:val="0D0D0D" w:themeColor="text1" w:themeTint="F2"/>
              </w:rPr>
              <w:t>147.000</w:t>
            </w:r>
          </w:p>
        </w:tc>
        <w:tc>
          <w:tcPr>
            <w:tcW w:w="990" w:type="dxa"/>
            <w:tcBorders>
              <w:top w:val="outset" w:sz="6" w:space="0" w:color="auto"/>
              <w:left w:val="outset" w:sz="6" w:space="0" w:color="auto"/>
              <w:bottom w:val="outset" w:sz="6" w:space="0" w:color="auto"/>
              <w:right w:val="outset" w:sz="6" w:space="0" w:color="auto"/>
            </w:tcBorders>
            <w:hideMark/>
          </w:tcPr>
          <w:p w14:paraId="3878E973" w14:textId="77777777" w:rsidR="00964E24" w:rsidRPr="00964E24" w:rsidRDefault="00964E24" w:rsidP="00964E24">
            <w:pPr>
              <w:jc w:val="both"/>
              <w:rPr>
                <w:rFonts w:ascii="Times New Roman" w:eastAsia="Times New Roman" w:hAnsi="Times New Roman" w:cs="Times New Roman"/>
                <w:color w:val="0D0D0D" w:themeColor="text1" w:themeTint="F2"/>
              </w:rPr>
            </w:pPr>
            <w:r w:rsidRPr="00964E24">
              <w:rPr>
                <w:rFonts w:ascii="Times New Roman" w:eastAsia="Times New Roman" w:hAnsi="Times New Roman" w:cs="Times New Roman"/>
                <w:color w:val="0D0D0D" w:themeColor="text1" w:themeTint="F2"/>
              </w:rPr>
              <w:t>- 5,5</w:t>
            </w:r>
          </w:p>
        </w:tc>
      </w:tr>
      <w:tr w:rsidR="00964E24" w:rsidRPr="00964E24" w14:paraId="064468C3" w14:textId="77777777" w:rsidTr="00964E24">
        <w:trPr>
          <w:tblCellSpacing w:w="0" w:type="dxa"/>
        </w:trPr>
        <w:tc>
          <w:tcPr>
            <w:tcW w:w="1695" w:type="dxa"/>
            <w:tcBorders>
              <w:top w:val="outset" w:sz="6" w:space="0" w:color="auto"/>
              <w:left w:val="outset" w:sz="6" w:space="0" w:color="auto"/>
              <w:bottom w:val="outset" w:sz="6" w:space="0" w:color="auto"/>
              <w:right w:val="outset" w:sz="6" w:space="0" w:color="auto"/>
            </w:tcBorders>
            <w:hideMark/>
          </w:tcPr>
          <w:p w14:paraId="5A24BF1C" w14:textId="77777777" w:rsidR="00964E24" w:rsidRPr="00964E24" w:rsidRDefault="00964E24" w:rsidP="00964E24">
            <w:pPr>
              <w:jc w:val="both"/>
              <w:rPr>
                <w:rFonts w:ascii="Times New Roman" w:eastAsia="Times New Roman" w:hAnsi="Times New Roman" w:cs="Times New Roman"/>
                <w:color w:val="0D0D0D" w:themeColor="text1" w:themeTint="F2"/>
              </w:rPr>
            </w:pPr>
            <w:r w:rsidRPr="00964E24">
              <w:rPr>
                <w:rFonts w:ascii="Times New Roman" w:eastAsia="Times New Roman" w:hAnsi="Times New Roman" w:cs="Times New Roman"/>
                <w:b/>
                <w:bCs/>
                <w:color w:val="0D0D0D" w:themeColor="text1" w:themeTint="F2"/>
              </w:rPr>
              <w:t>Tổng kim ngạch xuất nhập khẩu</w:t>
            </w:r>
          </w:p>
        </w:tc>
        <w:tc>
          <w:tcPr>
            <w:tcW w:w="1140" w:type="dxa"/>
            <w:tcBorders>
              <w:top w:val="outset" w:sz="6" w:space="0" w:color="auto"/>
              <w:left w:val="outset" w:sz="6" w:space="0" w:color="auto"/>
              <w:bottom w:val="outset" w:sz="6" w:space="0" w:color="auto"/>
              <w:right w:val="outset" w:sz="6" w:space="0" w:color="auto"/>
            </w:tcBorders>
            <w:hideMark/>
          </w:tcPr>
          <w:p w14:paraId="4EC477DA" w14:textId="77777777" w:rsidR="00964E24" w:rsidRPr="00964E24" w:rsidRDefault="00964E24" w:rsidP="00964E24">
            <w:pPr>
              <w:jc w:val="both"/>
              <w:rPr>
                <w:rFonts w:ascii="Times New Roman" w:eastAsia="Times New Roman" w:hAnsi="Times New Roman" w:cs="Times New Roman"/>
                <w:color w:val="0D0D0D" w:themeColor="text1" w:themeTint="F2"/>
              </w:rPr>
            </w:pPr>
            <w:r w:rsidRPr="00964E24">
              <w:rPr>
                <w:rFonts w:ascii="Times New Roman" w:eastAsia="Times New Roman" w:hAnsi="Times New Roman" w:cs="Times New Roman"/>
                <w:color w:val="0D0D0D" w:themeColor="text1" w:themeTint="F2"/>
              </w:rPr>
              <w:t>287.842</w:t>
            </w:r>
          </w:p>
        </w:tc>
        <w:tc>
          <w:tcPr>
            <w:tcW w:w="1140" w:type="dxa"/>
            <w:tcBorders>
              <w:top w:val="outset" w:sz="6" w:space="0" w:color="auto"/>
              <w:left w:val="outset" w:sz="6" w:space="0" w:color="auto"/>
              <w:bottom w:val="outset" w:sz="6" w:space="0" w:color="auto"/>
              <w:right w:val="outset" w:sz="6" w:space="0" w:color="auto"/>
            </w:tcBorders>
            <w:hideMark/>
          </w:tcPr>
          <w:p w14:paraId="6236C880" w14:textId="77777777" w:rsidR="00964E24" w:rsidRPr="00964E24" w:rsidRDefault="00964E24" w:rsidP="00964E24">
            <w:pPr>
              <w:jc w:val="both"/>
              <w:rPr>
                <w:rFonts w:ascii="Times New Roman" w:eastAsia="Times New Roman" w:hAnsi="Times New Roman" w:cs="Times New Roman"/>
                <w:color w:val="0D0D0D" w:themeColor="text1" w:themeTint="F2"/>
              </w:rPr>
            </w:pPr>
            <w:r w:rsidRPr="00964E24">
              <w:rPr>
                <w:rFonts w:ascii="Times New Roman" w:eastAsia="Times New Roman" w:hAnsi="Times New Roman" w:cs="Times New Roman"/>
                <w:color w:val="0D0D0D" w:themeColor="text1" w:themeTint="F2"/>
              </w:rPr>
              <w:t>358.006</w:t>
            </w:r>
          </w:p>
        </w:tc>
        <w:tc>
          <w:tcPr>
            <w:tcW w:w="990" w:type="dxa"/>
            <w:tcBorders>
              <w:top w:val="outset" w:sz="6" w:space="0" w:color="auto"/>
              <w:left w:val="outset" w:sz="6" w:space="0" w:color="auto"/>
              <w:bottom w:val="outset" w:sz="6" w:space="0" w:color="auto"/>
              <w:right w:val="outset" w:sz="6" w:space="0" w:color="auto"/>
            </w:tcBorders>
            <w:hideMark/>
          </w:tcPr>
          <w:p w14:paraId="6AB6BC53" w14:textId="77777777" w:rsidR="00964E24" w:rsidRPr="00964E24" w:rsidRDefault="00964E24" w:rsidP="00964E24">
            <w:pPr>
              <w:jc w:val="both"/>
              <w:rPr>
                <w:rFonts w:ascii="Times New Roman" w:eastAsia="Times New Roman" w:hAnsi="Times New Roman" w:cs="Times New Roman"/>
                <w:color w:val="0D0D0D" w:themeColor="text1" w:themeTint="F2"/>
              </w:rPr>
            </w:pPr>
            <w:r w:rsidRPr="00964E24">
              <w:rPr>
                <w:rFonts w:ascii="Times New Roman" w:eastAsia="Times New Roman" w:hAnsi="Times New Roman" w:cs="Times New Roman"/>
                <w:color w:val="0D0D0D" w:themeColor="text1" w:themeTint="F2"/>
              </w:rPr>
              <w:t>24,4</w:t>
            </w:r>
          </w:p>
        </w:tc>
        <w:tc>
          <w:tcPr>
            <w:tcW w:w="1275" w:type="dxa"/>
            <w:tcBorders>
              <w:top w:val="outset" w:sz="6" w:space="0" w:color="auto"/>
              <w:left w:val="outset" w:sz="6" w:space="0" w:color="auto"/>
              <w:bottom w:val="outset" w:sz="6" w:space="0" w:color="auto"/>
              <w:right w:val="outset" w:sz="6" w:space="0" w:color="auto"/>
            </w:tcBorders>
            <w:hideMark/>
          </w:tcPr>
          <w:p w14:paraId="7F63B695" w14:textId="77777777" w:rsidR="00964E24" w:rsidRPr="00964E24" w:rsidRDefault="00964E24" w:rsidP="00964E24">
            <w:pPr>
              <w:jc w:val="both"/>
              <w:rPr>
                <w:rFonts w:ascii="Times New Roman" w:eastAsia="Times New Roman" w:hAnsi="Times New Roman" w:cs="Times New Roman"/>
                <w:color w:val="0D0D0D" w:themeColor="text1" w:themeTint="F2"/>
              </w:rPr>
            </w:pPr>
            <w:r w:rsidRPr="00964E24">
              <w:rPr>
                <w:rFonts w:ascii="Times New Roman" w:eastAsia="Times New Roman" w:hAnsi="Times New Roman" w:cs="Times New Roman"/>
                <w:color w:val="0D0D0D" w:themeColor="text1" w:themeTint="F2"/>
              </w:rPr>
              <w:t>496.285</w:t>
            </w:r>
          </w:p>
        </w:tc>
        <w:tc>
          <w:tcPr>
            <w:tcW w:w="990" w:type="dxa"/>
            <w:tcBorders>
              <w:top w:val="outset" w:sz="6" w:space="0" w:color="auto"/>
              <w:left w:val="outset" w:sz="6" w:space="0" w:color="auto"/>
              <w:bottom w:val="outset" w:sz="6" w:space="0" w:color="auto"/>
              <w:right w:val="outset" w:sz="6" w:space="0" w:color="auto"/>
            </w:tcBorders>
            <w:hideMark/>
          </w:tcPr>
          <w:p w14:paraId="2F606AB1" w14:textId="77777777" w:rsidR="00964E24" w:rsidRPr="00964E24" w:rsidRDefault="00964E24" w:rsidP="00964E24">
            <w:pPr>
              <w:jc w:val="both"/>
              <w:rPr>
                <w:rFonts w:ascii="Times New Roman" w:eastAsia="Times New Roman" w:hAnsi="Times New Roman" w:cs="Times New Roman"/>
                <w:color w:val="0D0D0D" w:themeColor="text1" w:themeTint="F2"/>
              </w:rPr>
            </w:pPr>
            <w:r w:rsidRPr="00964E24">
              <w:rPr>
                <w:rFonts w:ascii="Times New Roman" w:eastAsia="Times New Roman" w:hAnsi="Times New Roman" w:cs="Times New Roman"/>
                <w:color w:val="0D0D0D" w:themeColor="text1" w:themeTint="F2"/>
              </w:rPr>
              <w:t>38,6</w:t>
            </w:r>
          </w:p>
        </w:tc>
        <w:tc>
          <w:tcPr>
            <w:tcW w:w="1275" w:type="dxa"/>
            <w:tcBorders>
              <w:top w:val="outset" w:sz="6" w:space="0" w:color="auto"/>
              <w:left w:val="outset" w:sz="6" w:space="0" w:color="auto"/>
              <w:bottom w:val="outset" w:sz="6" w:space="0" w:color="auto"/>
              <w:right w:val="outset" w:sz="6" w:space="0" w:color="auto"/>
            </w:tcBorders>
            <w:hideMark/>
          </w:tcPr>
          <w:p w14:paraId="20E9C5D2" w14:textId="77777777" w:rsidR="00964E24" w:rsidRPr="00964E24" w:rsidRDefault="00964E24" w:rsidP="00964E24">
            <w:pPr>
              <w:jc w:val="both"/>
              <w:rPr>
                <w:rFonts w:ascii="Times New Roman" w:eastAsia="Times New Roman" w:hAnsi="Times New Roman" w:cs="Times New Roman"/>
                <w:color w:val="0D0D0D" w:themeColor="text1" w:themeTint="F2"/>
              </w:rPr>
            </w:pPr>
            <w:r w:rsidRPr="00964E24">
              <w:rPr>
                <w:rFonts w:ascii="Times New Roman" w:eastAsia="Times New Roman" w:hAnsi="Times New Roman" w:cs="Times New Roman"/>
                <w:color w:val="0D0D0D" w:themeColor="text1" w:themeTint="F2"/>
              </w:rPr>
              <w:t>543.994</w:t>
            </w:r>
          </w:p>
        </w:tc>
        <w:tc>
          <w:tcPr>
            <w:tcW w:w="990" w:type="dxa"/>
            <w:tcBorders>
              <w:top w:val="outset" w:sz="6" w:space="0" w:color="auto"/>
              <w:left w:val="outset" w:sz="6" w:space="0" w:color="auto"/>
              <w:bottom w:val="outset" w:sz="6" w:space="0" w:color="auto"/>
              <w:right w:val="outset" w:sz="6" w:space="0" w:color="auto"/>
            </w:tcBorders>
            <w:hideMark/>
          </w:tcPr>
          <w:p w14:paraId="4356C1A3" w14:textId="77777777" w:rsidR="00964E24" w:rsidRPr="00964E24" w:rsidRDefault="00964E24" w:rsidP="00964E24">
            <w:pPr>
              <w:jc w:val="both"/>
              <w:rPr>
                <w:rFonts w:ascii="Times New Roman" w:eastAsia="Times New Roman" w:hAnsi="Times New Roman" w:cs="Times New Roman"/>
                <w:color w:val="0D0D0D" w:themeColor="text1" w:themeTint="F2"/>
              </w:rPr>
            </w:pPr>
            <w:r w:rsidRPr="00964E24">
              <w:rPr>
                <w:rFonts w:ascii="Times New Roman" w:eastAsia="Times New Roman" w:hAnsi="Times New Roman" w:cs="Times New Roman"/>
                <w:color w:val="0D0D0D" w:themeColor="text1" w:themeTint="F2"/>
              </w:rPr>
              <w:t>9,6</w:t>
            </w:r>
          </w:p>
        </w:tc>
        <w:tc>
          <w:tcPr>
            <w:tcW w:w="1275" w:type="dxa"/>
            <w:tcBorders>
              <w:top w:val="outset" w:sz="6" w:space="0" w:color="auto"/>
              <w:left w:val="outset" w:sz="6" w:space="0" w:color="auto"/>
              <w:bottom w:val="outset" w:sz="6" w:space="0" w:color="auto"/>
              <w:right w:val="outset" w:sz="6" w:space="0" w:color="auto"/>
            </w:tcBorders>
            <w:hideMark/>
          </w:tcPr>
          <w:p w14:paraId="724F5477" w14:textId="77777777" w:rsidR="00964E24" w:rsidRPr="00964E24" w:rsidRDefault="00964E24" w:rsidP="00964E24">
            <w:pPr>
              <w:jc w:val="both"/>
              <w:rPr>
                <w:rFonts w:ascii="Times New Roman" w:eastAsia="Times New Roman" w:hAnsi="Times New Roman" w:cs="Times New Roman"/>
                <w:color w:val="0D0D0D" w:themeColor="text1" w:themeTint="F2"/>
              </w:rPr>
            </w:pPr>
            <w:r w:rsidRPr="00964E24">
              <w:rPr>
                <w:rFonts w:ascii="Times New Roman" w:eastAsia="Times New Roman" w:hAnsi="Times New Roman" w:cs="Times New Roman"/>
                <w:color w:val="0D0D0D" w:themeColor="text1" w:themeTint="F2"/>
              </w:rPr>
              <w:t>523.300</w:t>
            </w:r>
          </w:p>
        </w:tc>
        <w:tc>
          <w:tcPr>
            <w:tcW w:w="990" w:type="dxa"/>
            <w:tcBorders>
              <w:top w:val="outset" w:sz="6" w:space="0" w:color="auto"/>
              <w:left w:val="outset" w:sz="6" w:space="0" w:color="auto"/>
              <w:bottom w:val="outset" w:sz="6" w:space="0" w:color="auto"/>
              <w:right w:val="outset" w:sz="6" w:space="0" w:color="auto"/>
            </w:tcBorders>
            <w:hideMark/>
          </w:tcPr>
          <w:p w14:paraId="686859A8" w14:textId="77777777" w:rsidR="00964E24" w:rsidRPr="00964E24" w:rsidRDefault="00964E24" w:rsidP="00964E24">
            <w:pPr>
              <w:jc w:val="both"/>
              <w:rPr>
                <w:rFonts w:ascii="Times New Roman" w:eastAsia="Times New Roman" w:hAnsi="Times New Roman" w:cs="Times New Roman"/>
                <w:color w:val="0D0D0D" w:themeColor="text1" w:themeTint="F2"/>
              </w:rPr>
            </w:pPr>
            <w:r w:rsidRPr="00964E24">
              <w:rPr>
                <w:rFonts w:ascii="Times New Roman" w:eastAsia="Times New Roman" w:hAnsi="Times New Roman" w:cs="Times New Roman"/>
                <w:color w:val="0D0D0D" w:themeColor="text1" w:themeTint="F2"/>
              </w:rPr>
              <w:t>- 3,8</w:t>
            </w:r>
          </w:p>
        </w:tc>
      </w:tr>
      <w:tr w:rsidR="00964E24" w:rsidRPr="00964E24" w14:paraId="545B5A3A" w14:textId="77777777" w:rsidTr="00964E24">
        <w:trPr>
          <w:tblCellSpacing w:w="0" w:type="dxa"/>
        </w:trPr>
        <w:tc>
          <w:tcPr>
            <w:tcW w:w="1695" w:type="dxa"/>
            <w:tcBorders>
              <w:top w:val="outset" w:sz="6" w:space="0" w:color="auto"/>
              <w:left w:val="outset" w:sz="6" w:space="0" w:color="auto"/>
              <w:bottom w:val="outset" w:sz="6" w:space="0" w:color="auto"/>
              <w:right w:val="outset" w:sz="6" w:space="0" w:color="auto"/>
            </w:tcBorders>
            <w:hideMark/>
          </w:tcPr>
          <w:p w14:paraId="0973B571" w14:textId="77777777" w:rsidR="00964E24" w:rsidRPr="00964E24" w:rsidRDefault="00964E24" w:rsidP="00964E24">
            <w:pPr>
              <w:jc w:val="both"/>
              <w:rPr>
                <w:rFonts w:ascii="Times New Roman" w:eastAsia="Times New Roman" w:hAnsi="Times New Roman" w:cs="Times New Roman"/>
                <w:color w:val="0D0D0D" w:themeColor="text1" w:themeTint="F2"/>
              </w:rPr>
            </w:pPr>
            <w:r w:rsidRPr="00964E24">
              <w:rPr>
                <w:rFonts w:ascii="Times New Roman" w:eastAsia="Times New Roman" w:hAnsi="Times New Roman" w:cs="Times New Roman"/>
                <w:b/>
                <w:bCs/>
                <w:color w:val="0D0D0D" w:themeColor="text1" w:themeTint="F2"/>
              </w:rPr>
              <w:t>Cán cân thương mại</w:t>
            </w:r>
          </w:p>
        </w:tc>
        <w:tc>
          <w:tcPr>
            <w:tcW w:w="1140" w:type="dxa"/>
            <w:tcBorders>
              <w:top w:val="outset" w:sz="6" w:space="0" w:color="auto"/>
              <w:left w:val="outset" w:sz="6" w:space="0" w:color="auto"/>
              <w:bottom w:val="outset" w:sz="6" w:space="0" w:color="auto"/>
              <w:right w:val="outset" w:sz="6" w:space="0" w:color="auto"/>
            </w:tcBorders>
            <w:hideMark/>
          </w:tcPr>
          <w:p w14:paraId="37047729" w14:textId="77777777" w:rsidR="00964E24" w:rsidRPr="00964E24" w:rsidRDefault="00964E24" w:rsidP="00964E24">
            <w:pPr>
              <w:jc w:val="both"/>
              <w:rPr>
                <w:rFonts w:ascii="Times New Roman" w:eastAsia="Times New Roman" w:hAnsi="Times New Roman" w:cs="Times New Roman"/>
                <w:color w:val="0D0D0D" w:themeColor="text1" w:themeTint="F2"/>
              </w:rPr>
            </w:pPr>
            <w:r w:rsidRPr="00964E24">
              <w:rPr>
                <w:rFonts w:ascii="Times New Roman" w:eastAsia="Times New Roman" w:hAnsi="Times New Roman" w:cs="Times New Roman"/>
                <w:color w:val="0D0D0D" w:themeColor="text1" w:themeTint="F2"/>
              </w:rPr>
              <w:t>96.754</w:t>
            </w:r>
          </w:p>
        </w:tc>
        <w:tc>
          <w:tcPr>
            <w:tcW w:w="1140" w:type="dxa"/>
            <w:tcBorders>
              <w:top w:val="outset" w:sz="6" w:space="0" w:color="auto"/>
              <w:left w:val="outset" w:sz="6" w:space="0" w:color="auto"/>
              <w:bottom w:val="outset" w:sz="6" w:space="0" w:color="auto"/>
              <w:right w:val="outset" w:sz="6" w:space="0" w:color="auto"/>
            </w:tcBorders>
            <w:hideMark/>
          </w:tcPr>
          <w:p w14:paraId="415C21D5" w14:textId="77777777" w:rsidR="00964E24" w:rsidRPr="00964E24" w:rsidRDefault="00964E24" w:rsidP="00964E24">
            <w:pPr>
              <w:jc w:val="both"/>
              <w:rPr>
                <w:rFonts w:ascii="Times New Roman" w:eastAsia="Times New Roman" w:hAnsi="Times New Roman" w:cs="Times New Roman"/>
                <w:color w:val="0D0D0D" w:themeColor="text1" w:themeTint="F2"/>
              </w:rPr>
            </w:pPr>
            <w:r w:rsidRPr="00964E24">
              <w:rPr>
                <w:rFonts w:ascii="Times New Roman" w:eastAsia="Times New Roman" w:hAnsi="Times New Roman" w:cs="Times New Roman"/>
                <w:color w:val="0D0D0D" w:themeColor="text1" w:themeTint="F2"/>
              </w:rPr>
              <w:t>144.280</w:t>
            </w:r>
          </w:p>
        </w:tc>
        <w:tc>
          <w:tcPr>
            <w:tcW w:w="990" w:type="dxa"/>
            <w:tcBorders>
              <w:top w:val="outset" w:sz="6" w:space="0" w:color="auto"/>
              <w:left w:val="outset" w:sz="6" w:space="0" w:color="auto"/>
              <w:bottom w:val="outset" w:sz="6" w:space="0" w:color="auto"/>
              <w:right w:val="outset" w:sz="6" w:space="0" w:color="auto"/>
            </w:tcBorders>
            <w:hideMark/>
          </w:tcPr>
          <w:p w14:paraId="068ABC3A" w14:textId="77777777" w:rsidR="00964E24" w:rsidRPr="00964E24" w:rsidRDefault="00964E24" w:rsidP="00964E24">
            <w:pPr>
              <w:jc w:val="both"/>
              <w:rPr>
                <w:rFonts w:ascii="Times New Roman" w:eastAsia="Times New Roman" w:hAnsi="Times New Roman" w:cs="Times New Roman"/>
                <w:color w:val="0D0D0D" w:themeColor="text1" w:themeTint="F2"/>
              </w:rPr>
            </w:pPr>
            <w:r w:rsidRPr="00964E24">
              <w:rPr>
                <w:rFonts w:ascii="Times New Roman" w:eastAsia="Times New Roman" w:hAnsi="Times New Roman" w:cs="Times New Roman"/>
                <w:color w:val="0D0D0D" w:themeColor="text1" w:themeTint="F2"/>
              </w:rPr>
              <w:t>49,1</w:t>
            </w:r>
          </w:p>
        </w:tc>
        <w:tc>
          <w:tcPr>
            <w:tcW w:w="1275" w:type="dxa"/>
            <w:tcBorders>
              <w:top w:val="outset" w:sz="6" w:space="0" w:color="auto"/>
              <w:left w:val="outset" w:sz="6" w:space="0" w:color="auto"/>
              <w:bottom w:val="outset" w:sz="6" w:space="0" w:color="auto"/>
              <w:right w:val="outset" w:sz="6" w:space="0" w:color="auto"/>
            </w:tcBorders>
            <w:hideMark/>
          </w:tcPr>
          <w:p w14:paraId="1363BA5D" w14:textId="77777777" w:rsidR="00964E24" w:rsidRPr="00964E24" w:rsidRDefault="00964E24" w:rsidP="00964E24">
            <w:pPr>
              <w:jc w:val="both"/>
              <w:rPr>
                <w:rFonts w:ascii="Times New Roman" w:eastAsia="Times New Roman" w:hAnsi="Times New Roman" w:cs="Times New Roman"/>
                <w:color w:val="0D0D0D" w:themeColor="text1" w:themeTint="F2"/>
              </w:rPr>
            </w:pPr>
            <w:r w:rsidRPr="00964E24">
              <w:rPr>
                <w:rFonts w:ascii="Times New Roman" w:eastAsia="Times New Roman" w:hAnsi="Times New Roman" w:cs="Times New Roman"/>
                <w:color w:val="0D0D0D" w:themeColor="text1" w:themeTint="F2"/>
              </w:rPr>
              <w:t>233.113</w:t>
            </w:r>
          </w:p>
        </w:tc>
        <w:tc>
          <w:tcPr>
            <w:tcW w:w="990" w:type="dxa"/>
            <w:tcBorders>
              <w:top w:val="outset" w:sz="6" w:space="0" w:color="auto"/>
              <w:left w:val="outset" w:sz="6" w:space="0" w:color="auto"/>
              <w:bottom w:val="outset" w:sz="6" w:space="0" w:color="auto"/>
              <w:right w:val="outset" w:sz="6" w:space="0" w:color="auto"/>
            </w:tcBorders>
            <w:hideMark/>
          </w:tcPr>
          <w:p w14:paraId="73F14B96" w14:textId="77777777" w:rsidR="00964E24" w:rsidRPr="00964E24" w:rsidRDefault="00964E24" w:rsidP="00964E24">
            <w:pPr>
              <w:jc w:val="both"/>
              <w:rPr>
                <w:rFonts w:ascii="Times New Roman" w:eastAsia="Times New Roman" w:hAnsi="Times New Roman" w:cs="Times New Roman"/>
                <w:color w:val="0D0D0D" w:themeColor="text1" w:themeTint="F2"/>
              </w:rPr>
            </w:pPr>
            <w:r w:rsidRPr="00964E24">
              <w:rPr>
                <w:rFonts w:ascii="Times New Roman" w:eastAsia="Times New Roman" w:hAnsi="Times New Roman" w:cs="Times New Roman"/>
                <w:color w:val="0D0D0D" w:themeColor="text1" w:themeTint="F2"/>
              </w:rPr>
              <w:t>61,6</w:t>
            </w:r>
          </w:p>
        </w:tc>
        <w:tc>
          <w:tcPr>
            <w:tcW w:w="1275" w:type="dxa"/>
            <w:tcBorders>
              <w:top w:val="outset" w:sz="6" w:space="0" w:color="auto"/>
              <w:left w:val="outset" w:sz="6" w:space="0" w:color="auto"/>
              <w:bottom w:val="outset" w:sz="6" w:space="0" w:color="auto"/>
              <w:right w:val="outset" w:sz="6" w:space="0" w:color="auto"/>
            </w:tcBorders>
            <w:hideMark/>
          </w:tcPr>
          <w:p w14:paraId="0AEDB67A" w14:textId="77777777" w:rsidR="00964E24" w:rsidRPr="00964E24" w:rsidRDefault="00964E24" w:rsidP="00964E24">
            <w:pPr>
              <w:jc w:val="both"/>
              <w:rPr>
                <w:rFonts w:ascii="Times New Roman" w:eastAsia="Times New Roman" w:hAnsi="Times New Roman" w:cs="Times New Roman"/>
                <w:color w:val="0D0D0D" w:themeColor="text1" w:themeTint="F2"/>
              </w:rPr>
            </w:pPr>
            <w:r w:rsidRPr="00964E24">
              <w:rPr>
                <w:rFonts w:ascii="Times New Roman" w:eastAsia="Times New Roman" w:hAnsi="Times New Roman" w:cs="Times New Roman"/>
                <w:color w:val="0D0D0D" w:themeColor="text1" w:themeTint="F2"/>
              </w:rPr>
              <w:t>232.808</w:t>
            </w:r>
          </w:p>
        </w:tc>
        <w:tc>
          <w:tcPr>
            <w:tcW w:w="990" w:type="dxa"/>
            <w:tcBorders>
              <w:top w:val="outset" w:sz="6" w:space="0" w:color="auto"/>
              <w:left w:val="outset" w:sz="6" w:space="0" w:color="auto"/>
              <w:bottom w:val="outset" w:sz="6" w:space="0" w:color="auto"/>
              <w:right w:val="outset" w:sz="6" w:space="0" w:color="auto"/>
            </w:tcBorders>
            <w:hideMark/>
          </w:tcPr>
          <w:p w14:paraId="5C7E18E5" w14:textId="77777777" w:rsidR="00964E24" w:rsidRPr="00964E24" w:rsidRDefault="00964E24" w:rsidP="00964E24">
            <w:pPr>
              <w:jc w:val="both"/>
              <w:rPr>
                <w:rFonts w:ascii="Times New Roman" w:eastAsia="Times New Roman" w:hAnsi="Times New Roman" w:cs="Times New Roman"/>
                <w:color w:val="0D0D0D" w:themeColor="text1" w:themeTint="F2"/>
              </w:rPr>
            </w:pPr>
            <w:r w:rsidRPr="00964E24">
              <w:rPr>
                <w:rFonts w:ascii="Times New Roman" w:eastAsia="Times New Roman" w:hAnsi="Times New Roman" w:cs="Times New Roman"/>
                <w:color w:val="0D0D0D" w:themeColor="text1" w:themeTint="F2"/>
              </w:rPr>
              <w:t>- 0,1</w:t>
            </w:r>
          </w:p>
        </w:tc>
        <w:tc>
          <w:tcPr>
            <w:tcW w:w="1275" w:type="dxa"/>
            <w:tcBorders>
              <w:top w:val="outset" w:sz="6" w:space="0" w:color="auto"/>
              <w:left w:val="outset" w:sz="6" w:space="0" w:color="auto"/>
              <w:bottom w:val="outset" w:sz="6" w:space="0" w:color="auto"/>
              <w:right w:val="outset" w:sz="6" w:space="0" w:color="auto"/>
            </w:tcBorders>
            <w:hideMark/>
          </w:tcPr>
          <w:p w14:paraId="6C8DFA55" w14:textId="77777777" w:rsidR="00964E24" w:rsidRPr="00964E24" w:rsidRDefault="00964E24" w:rsidP="00964E24">
            <w:pPr>
              <w:jc w:val="both"/>
              <w:rPr>
                <w:rFonts w:ascii="Times New Roman" w:eastAsia="Times New Roman" w:hAnsi="Times New Roman" w:cs="Times New Roman"/>
                <w:color w:val="0D0D0D" w:themeColor="text1" w:themeTint="F2"/>
              </w:rPr>
            </w:pPr>
            <w:r w:rsidRPr="00964E24">
              <w:rPr>
                <w:rFonts w:ascii="Times New Roman" w:eastAsia="Times New Roman" w:hAnsi="Times New Roman" w:cs="Times New Roman"/>
                <w:color w:val="0D0D0D" w:themeColor="text1" w:themeTint="F2"/>
              </w:rPr>
              <w:t>229.300</w:t>
            </w:r>
          </w:p>
        </w:tc>
        <w:tc>
          <w:tcPr>
            <w:tcW w:w="990" w:type="dxa"/>
            <w:tcBorders>
              <w:top w:val="outset" w:sz="6" w:space="0" w:color="auto"/>
              <w:left w:val="outset" w:sz="6" w:space="0" w:color="auto"/>
              <w:bottom w:val="outset" w:sz="6" w:space="0" w:color="auto"/>
              <w:right w:val="outset" w:sz="6" w:space="0" w:color="auto"/>
            </w:tcBorders>
            <w:hideMark/>
          </w:tcPr>
          <w:p w14:paraId="1DC9735C" w14:textId="77777777" w:rsidR="00964E24" w:rsidRPr="00964E24" w:rsidRDefault="00964E24" w:rsidP="00964E24">
            <w:pPr>
              <w:jc w:val="both"/>
              <w:rPr>
                <w:rFonts w:ascii="Times New Roman" w:eastAsia="Times New Roman" w:hAnsi="Times New Roman" w:cs="Times New Roman"/>
                <w:color w:val="0D0D0D" w:themeColor="text1" w:themeTint="F2"/>
              </w:rPr>
            </w:pPr>
            <w:r w:rsidRPr="00964E24">
              <w:rPr>
                <w:rFonts w:ascii="Times New Roman" w:eastAsia="Times New Roman" w:hAnsi="Times New Roman" w:cs="Times New Roman"/>
                <w:color w:val="0D0D0D" w:themeColor="text1" w:themeTint="F2"/>
              </w:rPr>
              <w:t>- 1,5</w:t>
            </w:r>
          </w:p>
        </w:tc>
      </w:tr>
    </w:tbl>
    <w:p w14:paraId="4FA139B0" w14:textId="77777777" w:rsidR="00964E24" w:rsidRPr="00964E24" w:rsidRDefault="00964E24" w:rsidP="00964E24">
      <w:pPr>
        <w:jc w:val="both"/>
        <w:rPr>
          <w:rFonts w:ascii="Times New Roman" w:eastAsia="Times New Roman" w:hAnsi="Times New Roman" w:cs="Times New Roman"/>
          <w:color w:val="0D0D0D" w:themeColor="text1" w:themeTint="F2"/>
        </w:rPr>
      </w:pPr>
      <w:r w:rsidRPr="00964E24">
        <w:rPr>
          <w:rFonts w:ascii="Times New Roman" w:eastAsia="Times New Roman" w:hAnsi="Times New Roman" w:cs="Times New Roman"/>
          <w:i/>
          <w:iCs/>
          <w:color w:val="0D0D0D" w:themeColor="text1" w:themeTint="F2"/>
        </w:rPr>
        <w:t>Nguồn: Hội đồng hợp tác các quốc gia Vùng vịnh và CIA</w:t>
      </w:r>
    </w:p>
    <w:p w14:paraId="772EEDE0" w14:textId="77777777" w:rsidR="00964E24" w:rsidRPr="00964E24" w:rsidRDefault="00964E24" w:rsidP="00964E24">
      <w:pPr>
        <w:jc w:val="both"/>
        <w:rPr>
          <w:rFonts w:ascii="Times New Roman" w:eastAsia="Times New Roman" w:hAnsi="Times New Roman" w:cs="Times New Roman"/>
          <w:color w:val="0D0D0D" w:themeColor="text1" w:themeTint="F2"/>
        </w:rPr>
      </w:pPr>
      <w:r w:rsidRPr="00964E24">
        <w:rPr>
          <w:rFonts w:ascii="Times New Roman" w:eastAsia="Times New Roman" w:hAnsi="Times New Roman" w:cs="Times New Roman"/>
          <w:color w:val="0D0D0D" w:themeColor="text1" w:themeTint="F2"/>
        </w:rPr>
        <w:t>            </w:t>
      </w:r>
      <w:r w:rsidRPr="00964E24">
        <w:rPr>
          <w:rFonts w:ascii="Times New Roman" w:eastAsia="Times New Roman" w:hAnsi="Times New Roman" w:cs="Times New Roman"/>
          <w:b/>
          <w:bCs/>
          <w:color w:val="0D0D0D" w:themeColor="text1" w:themeTint="F2"/>
        </w:rPr>
        <w:t>Xuất khẩu</w:t>
      </w:r>
    </w:p>
    <w:p w14:paraId="5E689B84" w14:textId="77777777" w:rsidR="00964E24" w:rsidRPr="00964E24" w:rsidRDefault="00964E24" w:rsidP="00964E24">
      <w:pPr>
        <w:jc w:val="both"/>
        <w:rPr>
          <w:rFonts w:ascii="Times New Roman" w:eastAsia="Times New Roman" w:hAnsi="Times New Roman" w:cs="Times New Roman"/>
          <w:color w:val="0D0D0D" w:themeColor="text1" w:themeTint="F2"/>
        </w:rPr>
      </w:pPr>
      <w:r w:rsidRPr="00964E24">
        <w:rPr>
          <w:rFonts w:ascii="Times New Roman" w:eastAsia="Times New Roman" w:hAnsi="Times New Roman" w:cs="Times New Roman"/>
          <w:color w:val="0D0D0D" w:themeColor="text1" w:themeTint="F2"/>
        </w:rPr>
        <w:t>            Saudi Arabia là nước đứng đầu về xuất khẩu trong khối GCC. Bảng thống kê trên cho thấy, nếu như kim ngạch xuất khẩu năm 2009 đạt 192,298 tỷ USD, đến năm 2013 con số này được nâng lên 376,3 tỷ USD, tăng 95,7% so năm 2009. Cụ thể, so cùng kỳ năm trước, năm 2010 đạt 251,143 tỷ USD, tăng 30,6%; năm 2011 đạt 364,699 tỷ USD, tăng 45,2%; năm 2012 đạt 388,401 tỷ USD, tăng 6,5%; năm 2013 đạt 369,3 tỷ USD, giảm 3,1%.</w:t>
      </w:r>
    </w:p>
    <w:p w14:paraId="6E22FB94" w14:textId="77777777" w:rsidR="00964E24" w:rsidRPr="00964E24" w:rsidRDefault="00964E24" w:rsidP="00964E24">
      <w:pPr>
        <w:jc w:val="both"/>
        <w:rPr>
          <w:rFonts w:ascii="Times New Roman" w:eastAsia="Times New Roman" w:hAnsi="Times New Roman" w:cs="Times New Roman"/>
          <w:color w:val="0D0D0D" w:themeColor="text1" w:themeTint="F2"/>
        </w:rPr>
      </w:pPr>
      <w:r w:rsidRPr="00964E24">
        <w:rPr>
          <w:rFonts w:ascii="Times New Roman" w:eastAsia="Times New Roman" w:hAnsi="Times New Roman" w:cs="Times New Roman"/>
          <w:color w:val="0D0D0D" w:themeColor="text1" w:themeTint="F2"/>
        </w:rPr>
        <w:t>            Như vậy, trong giai đoạn này, ngoại trừ năm 2013 xuất khẩu của Saudi Arabia giảm, các năm còn lại đều đạt mức tăng trưởng tốt. Trong đó, năm 2011 đạt mức tăng trưởng cao nhất, tiếp đến là năm 2010, 2012. Theo CIA, xuất khẩu của Saudi Arabia đứng thứ 16 thế giới trong năm 2013.</w:t>
      </w:r>
    </w:p>
    <w:p w14:paraId="4F1A5ACB" w14:textId="77777777" w:rsidR="00964E24" w:rsidRPr="00964E24" w:rsidRDefault="00964E24" w:rsidP="00964E24">
      <w:pPr>
        <w:jc w:val="both"/>
        <w:rPr>
          <w:rFonts w:ascii="Times New Roman" w:eastAsia="Times New Roman" w:hAnsi="Times New Roman" w:cs="Times New Roman"/>
          <w:color w:val="0D0D0D" w:themeColor="text1" w:themeTint="F2"/>
        </w:rPr>
      </w:pPr>
      <w:r w:rsidRPr="00964E24">
        <w:rPr>
          <w:rFonts w:ascii="Times New Roman" w:eastAsia="Times New Roman" w:hAnsi="Times New Roman" w:cs="Times New Roman"/>
          <w:color w:val="0D0D0D" w:themeColor="text1" w:themeTint="F2"/>
        </w:rPr>
        <w:t>            Các mặt hàng xuất khẩu chủ yếu của Saudi Arabia bao gồm: dầu mỏ và các sản phẩm dầu mỏ; chất dẻo và sản phẩm chất dẻo; Phân bón; hóa chất hữu cơ; sắt thép và sản phẩm sắt thép; máy móc thiết bị điện và phụ tùng; máy móc thiết bị nồi hơi; xe cộ và phụ tùng; tầu thuyền và kết cấu nổi; sản phẩm bơ sữa, trứng chim, gia cầm…Trong đó, dầu mỏ và các sản phẩm dầu mỏ chiếm đến 90% tổng kim ngạch xuất khẩu của nước này.</w:t>
      </w:r>
    </w:p>
    <w:p w14:paraId="411A0BAB" w14:textId="77777777" w:rsidR="00964E24" w:rsidRPr="00964E24" w:rsidRDefault="00964E24" w:rsidP="00964E24">
      <w:pPr>
        <w:jc w:val="both"/>
        <w:rPr>
          <w:rFonts w:ascii="Times New Roman" w:eastAsia="Times New Roman" w:hAnsi="Times New Roman" w:cs="Times New Roman"/>
          <w:color w:val="0D0D0D" w:themeColor="text1" w:themeTint="F2"/>
        </w:rPr>
      </w:pPr>
      <w:r w:rsidRPr="00964E24">
        <w:rPr>
          <w:rFonts w:ascii="Times New Roman" w:eastAsia="Times New Roman" w:hAnsi="Times New Roman" w:cs="Times New Roman"/>
          <w:color w:val="0D0D0D" w:themeColor="text1" w:themeTint="F2"/>
        </w:rPr>
        <w:lastRenderedPageBreak/>
        <w:t>            Theo số liệu của Cục Thông tin và Thống kê Saudi Arabia, tính riêng năm 2012, so cùng kỳ năm trước, các mặt hàng thuộc Chương 27 (nhiên liệu) trong biểu thuế nhập khẩu có kim ngạch xuất khẩu cao nhất với 337,5 tỷ USD, tăng 6,3%; tiếp đến là các mặt hàng thuộc Chương 39 (chất dẻo và sản phẩm chất dẻo) đạt 15,5 tỷ USD, tăng 7,1%; các sản phẩm hóa chất hữu cơ thuộc Chương 29 đạt 13 tỷ USD, tăng 7,1%; các sản phẩm phân bón thuộc Chương 31 đạt 1,6 tỷ USD, tăng 0,2%; các sản phẩm thuộc Chương 87 (xe cộ và phụ tùng) đạt 1,6 tỷ USD, tăng 51,8%; các sản phẩm thuộc Chương 89 (tầu thuyền và kết cấu nổi) đạt 1,5 tỷ USD, tăng 28,7%; các sản phẩm thuộc Chương 84 (lò phản ứng hạt nhân, máy móc thiết bị nồi hơi, cơ khí và phụ tùng) đạt 1,5 tỷ USD, giảm 7%; các sản phẩm thuộc Chương 85 (máy móc thiết bị điện và linh kiện) đạt 1,3 tỷ USD, tăng 13%; các sản phẩm sắt thép thuộc Chương 73 đạt 1,1 tỷ USD, tăng 8,7%; các sản phẩm hóa chất vô cơ thuộc Chương 28 đạt 1,1 tỷ USD, tăng 71,9%; các sản phẩm thuộc Chương 4 (bơ sữa, trứng chim, gia cầm…) đạt 1,1 tỷ USD, tăng 3%...</w:t>
      </w:r>
    </w:p>
    <w:p w14:paraId="1F3E6482" w14:textId="77777777" w:rsidR="00964E24" w:rsidRPr="00964E24" w:rsidRDefault="00964E24" w:rsidP="00964E24">
      <w:pPr>
        <w:jc w:val="both"/>
        <w:rPr>
          <w:rFonts w:ascii="Times New Roman" w:eastAsia="Times New Roman" w:hAnsi="Times New Roman" w:cs="Times New Roman"/>
          <w:color w:val="0D0D0D" w:themeColor="text1" w:themeTint="F2"/>
        </w:rPr>
      </w:pPr>
      <w:r w:rsidRPr="00964E24">
        <w:rPr>
          <w:rFonts w:ascii="Times New Roman" w:eastAsia="Times New Roman" w:hAnsi="Times New Roman" w:cs="Times New Roman"/>
          <w:color w:val="0D0D0D" w:themeColor="text1" w:themeTint="F2"/>
        </w:rPr>
        <w:t>            Hoạt động tái xuất khẩu của Saudi Arabia diễn ra trên quy mô nhỏ, chỉ chiếm khoảng 4,8% tổng kim ngạch nhập khẩu của nước này.</w:t>
      </w:r>
    </w:p>
    <w:p w14:paraId="37A28A59" w14:textId="77777777" w:rsidR="00964E24" w:rsidRPr="00964E24" w:rsidRDefault="00964E24" w:rsidP="00964E24">
      <w:pPr>
        <w:jc w:val="both"/>
        <w:rPr>
          <w:rFonts w:ascii="Times New Roman" w:eastAsia="Times New Roman" w:hAnsi="Times New Roman" w:cs="Times New Roman"/>
          <w:color w:val="0D0D0D" w:themeColor="text1" w:themeTint="F2"/>
        </w:rPr>
      </w:pPr>
      <w:r w:rsidRPr="00964E24">
        <w:rPr>
          <w:rFonts w:ascii="Times New Roman" w:eastAsia="Times New Roman" w:hAnsi="Times New Roman" w:cs="Times New Roman"/>
          <w:color w:val="0D0D0D" w:themeColor="text1" w:themeTint="F2"/>
        </w:rPr>
        <w:t>            Thị trường xuất khẩu trong năm 2012 của Saudi Arabia tập trung chủ yếu vào Mỹ, Châu Á, Châu Âu. Trong đó, Saudi Arabia nhập khẩu nhiều nhất từ Mỹ với 55,6 tỷ USD; tiếp theo là Nhật Bản 51,3 tỷ USD; Trung Quốc 50,2 tỷ USD; Hàn Quốc 35,6 tỷ USD; Ấn Độ 32,2 tỷ USD; Singapore 14,3 tỷ USD; Đài Loan 13,4 tỷ USD; Ý 10,5 tỷ USD; Hà Lan 8,9 tỷ USD; Tây Ban Nha 7,8 tỷ USD; Nam Phi 7,4 tỷ USD; Pháp 6,9 tỷ USD; Bỉ 5,3 tỷ USD…</w:t>
      </w:r>
    </w:p>
    <w:p w14:paraId="71A237DE" w14:textId="77777777" w:rsidR="00964E24" w:rsidRPr="00964E24" w:rsidRDefault="00964E24" w:rsidP="00964E24">
      <w:pPr>
        <w:jc w:val="both"/>
        <w:rPr>
          <w:rFonts w:ascii="Times New Roman" w:eastAsia="Times New Roman" w:hAnsi="Times New Roman" w:cs="Times New Roman"/>
          <w:color w:val="0D0D0D" w:themeColor="text1" w:themeTint="F2"/>
        </w:rPr>
      </w:pPr>
      <w:r w:rsidRPr="00964E24">
        <w:rPr>
          <w:rFonts w:ascii="Times New Roman" w:eastAsia="Times New Roman" w:hAnsi="Times New Roman" w:cs="Times New Roman"/>
          <w:color w:val="0D0D0D" w:themeColor="text1" w:themeTint="F2"/>
        </w:rPr>
        <w:t>            </w:t>
      </w:r>
      <w:r w:rsidRPr="00964E24">
        <w:rPr>
          <w:rFonts w:ascii="Times New Roman" w:eastAsia="Times New Roman" w:hAnsi="Times New Roman" w:cs="Times New Roman"/>
          <w:b/>
          <w:bCs/>
          <w:color w:val="0D0D0D" w:themeColor="text1" w:themeTint="F2"/>
        </w:rPr>
        <w:t>Nhập khẩu</w:t>
      </w:r>
    </w:p>
    <w:p w14:paraId="7746410C" w14:textId="77777777" w:rsidR="00964E24" w:rsidRPr="00964E24" w:rsidRDefault="00964E24" w:rsidP="00964E24">
      <w:pPr>
        <w:jc w:val="both"/>
        <w:rPr>
          <w:rFonts w:ascii="Times New Roman" w:eastAsia="Times New Roman" w:hAnsi="Times New Roman" w:cs="Times New Roman"/>
          <w:color w:val="0D0D0D" w:themeColor="text1" w:themeTint="F2"/>
        </w:rPr>
      </w:pPr>
      <w:r w:rsidRPr="00964E24">
        <w:rPr>
          <w:rFonts w:ascii="Times New Roman" w:eastAsia="Times New Roman" w:hAnsi="Times New Roman" w:cs="Times New Roman"/>
          <w:color w:val="0D0D0D" w:themeColor="text1" w:themeTint="F2"/>
        </w:rPr>
        <w:t>            Xét về quy mô nhập khẩu, Saudi Arabia đứng thứ hai trong khối GCC sau UAE trong giai đoạn 2009 - 2013.</w:t>
      </w:r>
    </w:p>
    <w:p w14:paraId="5D3A5DDF" w14:textId="77777777" w:rsidR="00964E24" w:rsidRPr="00964E24" w:rsidRDefault="00964E24" w:rsidP="00964E24">
      <w:pPr>
        <w:jc w:val="both"/>
        <w:rPr>
          <w:rFonts w:ascii="Times New Roman" w:eastAsia="Times New Roman" w:hAnsi="Times New Roman" w:cs="Times New Roman"/>
          <w:color w:val="0D0D0D" w:themeColor="text1" w:themeTint="F2"/>
        </w:rPr>
      </w:pPr>
      <w:r w:rsidRPr="00964E24">
        <w:rPr>
          <w:rFonts w:ascii="Times New Roman" w:eastAsia="Times New Roman" w:hAnsi="Times New Roman" w:cs="Times New Roman"/>
          <w:color w:val="0D0D0D" w:themeColor="text1" w:themeTint="F2"/>
        </w:rPr>
        <w:t>            Bảng thống kê trên cho thấy, nếu như năm 2009 kim ngạch nhập khẩu của Saudi Arabia đạt 95,544 tỷ USD, đến năm 2013 con số này được nâng lên 147 tỷ USD, tăng 53,9% so năm 2009. Cụ thể, so cùng kỳ năm trước, năm 2010 đạt 106,863 tỷ USD, tăng 11,8%; năm 2011 đạt 131,586 tỷ USD, tăng 23,1%; năm 2012 đạt 155,593 tỷ USD, tăng 18,2%; năm 2013 đạt 147 tỷ USD, giảm 5,5%.</w:t>
      </w:r>
    </w:p>
    <w:p w14:paraId="23301F3C" w14:textId="77777777" w:rsidR="00964E24" w:rsidRPr="00964E24" w:rsidRDefault="00964E24" w:rsidP="00964E24">
      <w:pPr>
        <w:jc w:val="both"/>
        <w:rPr>
          <w:rFonts w:ascii="Times New Roman" w:eastAsia="Times New Roman" w:hAnsi="Times New Roman" w:cs="Times New Roman"/>
          <w:color w:val="0D0D0D" w:themeColor="text1" w:themeTint="F2"/>
        </w:rPr>
      </w:pPr>
      <w:r w:rsidRPr="00964E24">
        <w:rPr>
          <w:rFonts w:ascii="Times New Roman" w:eastAsia="Times New Roman" w:hAnsi="Times New Roman" w:cs="Times New Roman"/>
          <w:color w:val="0D0D0D" w:themeColor="text1" w:themeTint="F2"/>
        </w:rPr>
        <w:t>            Như vậy, trong giai đoạn này, ngoại trừ năm 2013 giảm, các năm còn lại đều đạt mức tăng trưởng tốt về nhập khẩu. Trong đó, năm 2011 có mức tăng cao nhất, tiếp đến là năm 2012, 2010. Theo CIA, nhập khẩu của Saudi Arabia đứng thứ 31 thế giới trong năm 2013.</w:t>
      </w:r>
    </w:p>
    <w:p w14:paraId="082B17DE" w14:textId="77777777" w:rsidR="00964E24" w:rsidRPr="00964E24" w:rsidRDefault="00964E24" w:rsidP="00964E24">
      <w:pPr>
        <w:jc w:val="both"/>
        <w:rPr>
          <w:rFonts w:ascii="Times New Roman" w:eastAsia="Times New Roman" w:hAnsi="Times New Roman" w:cs="Times New Roman"/>
          <w:color w:val="0D0D0D" w:themeColor="text1" w:themeTint="F2"/>
        </w:rPr>
      </w:pPr>
      <w:r w:rsidRPr="00964E24">
        <w:rPr>
          <w:rFonts w:ascii="Times New Roman" w:eastAsia="Times New Roman" w:hAnsi="Times New Roman" w:cs="Times New Roman"/>
          <w:color w:val="0D0D0D" w:themeColor="text1" w:themeTint="F2"/>
        </w:rPr>
        <w:t>            Cơ cấu nhập khẩu của Saudi Arabia chủ yếu tập trung vào các nhóm hàng như máy móc thiết bị; xe cộ và phụ tùng; sắt thép và sản phẩm sắt thép; thực phẩm; dược phẩm; đồng; đồ trang sức, kim loại và đá quý; chất dẻo và sản phẩm chất dẻo; Cao su và sản phẩm cao su; hóa chất vô cơ; hóa chất hữu cơ; đồ nội thất…</w:t>
      </w:r>
    </w:p>
    <w:p w14:paraId="783F55AB" w14:textId="77777777" w:rsidR="00964E24" w:rsidRPr="00964E24" w:rsidRDefault="00964E24" w:rsidP="00964E24">
      <w:pPr>
        <w:jc w:val="both"/>
        <w:rPr>
          <w:rFonts w:ascii="Times New Roman" w:eastAsia="Times New Roman" w:hAnsi="Times New Roman" w:cs="Times New Roman"/>
          <w:color w:val="0D0D0D" w:themeColor="text1" w:themeTint="F2"/>
        </w:rPr>
      </w:pPr>
      <w:r w:rsidRPr="00964E24">
        <w:rPr>
          <w:rFonts w:ascii="Times New Roman" w:eastAsia="Times New Roman" w:hAnsi="Times New Roman" w:cs="Times New Roman"/>
          <w:color w:val="0D0D0D" w:themeColor="text1" w:themeTint="F2"/>
        </w:rPr>
        <w:t xml:space="preserve">            Theo số liệu của Cục Thông tin và Thống kê Saudi Arabia, tính riêng năm 2012, so cùng kỳ năm trước, các mặt hàng thuộc Chương 84 trong biểu thuế nhập khẩu có kim ngạch nhập khẩu cao nhất với 24,6 tỷ USD, tăng 20%; tiếp đến là các mặt hàng thuộc Chương 87 đạt 24,2 tỷ USD, tăng 37,7%; các mặt hàng thuộc Chương 85 đạt 16,5 tỷ USD, tăng 20,2%; các mặt hàng thuộc Chương 72 (sắt thép) đạt 7,8 tỷ USD, tăng 28,2%; các mặt hàng thuộc Chương 73 đạt 6,5 tỷ USD, tăng 20,6%; các sản phẩm thuộc Chương 10 (ngũ cốc) đạt 5 tỷ USD, tăng 14,1 tỷ USD; các mặt hàng thuộc Chương 30 (dược phẩm) đạt 4,4 tỷ USD, tăng 17,1%; các mặt hàng thuộc Chương 90 (dụng cụ, thiết bị quang học, nhiếp ảnh, điện ảnh, đo lường, y tế, phẫu thuật) đạt 3,3 tỷ USD, tăng 27,3%; các mặt hàng thuộc Chương 74 (đồng và sản phẩm đồng) đạt 3,3 tỷ USD, tăng 9,6%; các mặt hàng thuộc Chương 39 đạt 3,2 tỷ USD, tăng 11,2%; các mặt hàng thuộc Chương 71 (đồ trang sức, kim loại và đá quý) đạt 2,9 tỷ USD; các mặt hàng thuộc Chương 2 (thịt) đạt 2,5 tỷ USD, tăng 0%; các sản phẩm thuộc Chương 40 (cao su và sản phẩm cao su) đạt 2,4 tỷ USD, tăng 14,9%; các </w:t>
      </w:r>
      <w:r w:rsidRPr="00964E24">
        <w:rPr>
          <w:rFonts w:ascii="Times New Roman" w:eastAsia="Times New Roman" w:hAnsi="Times New Roman" w:cs="Times New Roman"/>
          <w:color w:val="0D0D0D" w:themeColor="text1" w:themeTint="F2"/>
        </w:rPr>
        <w:lastRenderedPageBreak/>
        <w:t>mặt hàng thuộc Chương 29 đạt 2,2 tỷ USD, tăng 6,4%; các mặt hàng thuộc Chương 62 (vải, quần áo) đạt 2 tỷ USD, tăng 9,6%...</w:t>
      </w:r>
    </w:p>
    <w:p w14:paraId="30C67FE7" w14:textId="77777777" w:rsidR="00964E24" w:rsidRPr="00964E24" w:rsidRDefault="00964E24" w:rsidP="00964E24">
      <w:pPr>
        <w:jc w:val="both"/>
        <w:rPr>
          <w:rFonts w:ascii="Times New Roman" w:eastAsia="Times New Roman" w:hAnsi="Times New Roman" w:cs="Times New Roman"/>
          <w:color w:val="0D0D0D" w:themeColor="text1" w:themeTint="F2"/>
        </w:rPr>
      </w:pPr>
      <w:r w:rsidRPr="00964E24">
        <w:rPr>
          <w:rFonts w:ascii="Times New Roman" w:eastAsia="Times New Roman" w:hAnsi="Times New Roman" w:cs="Times New Roman"/>
          <w:color w:val="0D0D0D" w:themeColor="text1" w:themeTint="F2"/>
        </w:rPr>
        <w:t>            Số liệu của Cục Thông tin và Thống kê Saudi Arabia cho thấy, tính riêng năm 2012, thị trường nhập khẩu của Saudi Arabia của yếu từ các nước trong khu vực Châu Á, Mỹ, Châu Âu. Trong đó, đứng đầu là thị trường Mỹ với 21 tỷ USD; tiếp theo là Trung Quốc đạt 19,8 tỷ USD; Đức đạt 11 tỷ USD; Nhật Bản đạt 10,4 tỷ USD; Hàn Quốc đạt 9,5 tỷ USD; UAE đạt 6,5 tỷ USD; Ấn Độ đạt 5,2 tỷ USD; Pháp đạt 5 tỷ USD; Ý đạt 4,7 tỷ USD; Anh đạt 4,2 tỷ USD…</w:t>
      </w:r>
    </w:p>
    <w:p w14:paraId="4A258148" w14:textId="77777777" w:rsidR="00964E24" w:rsidRPr="00964E24" w:rsidRDefault="00964E24" w:rsidP="00964E24">
      <w:pPr>
        <w:jc w:val="both"/>
        <w:rPr>
          <w:rFonts w:ascii="Times New Roman" w:eastAsia="Times New Roman" w:hAnsi="Times New Roman" w:cs="Times New Roman"/>
          <w:color w:val="0D0D0D" w:themeColor="text1" w:themeTint="F2"/>
        </w:rPr>
      </w:pPr>
      <w:r w:rsidRPr="00964E24">
        <w:rPr>
          <w:rFonts w:ascii="Times New Roman" w:eastAsia="Times New Roman" w:hAnsi="Times New Roman" w:cs="Times New Roman"/>
          <w:color w:val="0D0D0D" w:themeColor="text1" w:themeTint="F2"/>
        </w:rPr>
        <w:t>            </w:t>
      </w:r>
      <w:r w:rsidRPr="00964E24">
        <w:rPr>
          <w:rFonts w:ascii="Times New Roman" w:eastAsia="Times New Roman" w:hAnsi="Times New Roman" w:cs="Times New Roman"/>
          <w:b/>
          <w:bCs/>
          <w:color w:val="0D0D0D" w:themeColor="text1" w:themeTint="F2"/>
        </w:rPr>
        <w:t>Cán cân thương mại</w:t>
      </w:r>
    </w:p>
    <w:p w14:paraId="1BDD821F" w14:textId="77777777" w:rsidR="00964E24" w:rsidRPr="00964E24" w:rsidRDefault="00964E24" w:rsidP="00964E24">
      <w:pPr>
        <w:jc w:val="both"/>
        <w:rPr>
          <w:rFonts w:ascii="Times New Roman" w:eastAsia="Times New Roman" w:hAnsi="Times New Roman" w:cs="Times New Roman"/>
          <w:color w:val="0D0D0D" w:themeColor="text1" w:themeTint="F2"/>
        </w:rPr>
      </w:pPr>
      <w:r w:rsidRPr="00964E24">
        <w:rPr>
          <w:rFonts w:ascii="Times New Roman" w:eastAsia="Times New Roman" w:hAnsi="Times New Roman" w:cs="Times New Roman"/>
          <w:color w:val="0D0D0D" w:themeColor="text1" w:themeTint="F2"/>
        </w:rPr>
        <w:t>            Saudi Arabia là nước có mức thặng dư thương mại cao nhất khối GCC trong giai đoạn 2009 – 2013. Theo số liệu của Hội đồng các quốc gia Vùng vịnh và CIA, so cùng kỳ năm trước, năm 2009 Saudi Arabia đạt mức thặng dư thương mại 96,754 tỷ USD, chiếm 50,3% tổng kim ngạch xuất khẩu; năm 2010 đạt 144,28 tỷ USD, tăng 49,1%, chiếm 57,4% tổng kim ngạch xuất khẩu; năm 2011 đạt 233,113 tỷ USD, tăng 61,6%, chiếm 63,9% tổng kim ngạch xuất khẩu; năm 2012 đạt 232,808 tỷ USD, giảm 0,1%, chiếm 59,9% tổng kim ngạch xuất khẩu; năm 2013 đạt 229,3 tỷ USD, giảm 1,5%, chiếm 60,9% tổng kim ngạch xuất khẩu.</w:t>
      </w:r>
    </w:p>
    <w:p w14:paraId="1BD5A65F" w14:textId="77777777" w:rsidR="00964E24" w:rsidRPr="00964E24" w:rsidRDefault="00964E24" w:rsidP="00964E24">
      <w:pPr>
        <w:jc w:val="both"/>
        <w:rPr>
          <w:rFonts w:ascii="Times New Roman" w:eastAsia="Times New Roman" w:hAnsi="Times New Roman" w:cs="Times New Roman"/>
          <w:color w:val="0D0D0D" w:themeColor="text1" w:themeTint="F2"/>
        </w:rPr>
      </w:pPr>
      <w:r w:rsidRPr="00964E24">
        <w:rPr>
          <w:rFonts w:ascii="Times New Roman" w:eastAsia="Times New Roman" w:hAnsi="Times New Roman" w:cs="Times New Roman"/>
          <w:color w:val="0D0D0D" w:themeColor="text1" w:themeTint="F2"/>
        </w:rPr>
        <w:t>            Như vậy, trong giai đoạn này, các năm đều đạt mức thăng dư thương mại dương. Trong đó cao nhất là năm 2011, tiếp đến là năm 2012, 2013, 2010 và 2009. Xét về tốc độ tăng trưởng, duy nhất hai năm liền là 2012 và 2013 đạt mức tăng trưởng âm, các năm còn lại đều đạt mức tăng trưởng cao, trong đó đỉnh điểm là năm 2011. Điều này cho thấy, ngoại thương của Saudi Arabia chủ yếu dựa vào xuất khẩu./.</w:t>
      </w:r>
    </w:p>
    <w:p w14:paraId="6E5C4C72" w14:textId="77777777" w:rsidR="00964E24" w:rsidRPr="00964E24" w:rsidRDefault="00964E24" w:rsidP="00964E24">
      <w:pPr>
        <w:jc w:val="both"/>
        <w:rPr>
          <w:rFonts w:ascii="Times New Roman" w:eastAsia="Times New Roman" w:hAnsi="Times New Roman" w:cs="Times New Roman"/>
          <w:color w:val="0D0D0D" w:themeColor="text1" w:themeTint="F2"/>
        </w:rPr>
      </w:pPr>
      <w:r w:rsidRPr="00964E24">
        <w:rPr>
          <w:rFonts w:ascii="Times New Roman" w:eastAsia="Times New Roman" w:hAnsi="Times New Roman" w:cs="Times New Roman"/>
          <w:i/>
          <w:iCs/>
          <w:color w:val="0D0D0D" w:themeColor="text1" w:themeTint="F2"/>
        </w:rPr>
        <w:t>Trần Ngọc Hà</w:t>
      </w:r>
    </w:p>
    <w:p w14:paraId="65EDAB9F" w14:textId="77777777" w:rsidR="00964E24" w:rsidRPr="00964E24" w:rsidRDefault="00964E24" w:rsidP="00964E24">
      <w:pPr>
        <w:jc w:val="both"/>
        <w:textAlignment w:val="center"/>
        <w:rPr>
          <w:rFonts w:ascii="Times New Roman" w:eastAsia="Times New Roman" w:hAnsi="Times New Roman" w:cs="Times New Roman"/>
          <w:b/>
          <w:bCs/>
          <w:color w:val="0D0D0D" w:themeColor="text1" w:themeTint="F2"/>
        </w:rPr>
      </w:pPr>
      <w:r w:rsidRPr="00964E24">
        <w:rPr>
          <w:rFonts w:ascii="Times New Roman" w:eastAsia="Times New Roman" w:hAnsi="Times New Roman" w:cs="Times New Roman"/>
          <w:b/>
          <w:bCs/>
          <w:color w:val="0D0D0D" w:themeColor="text1" w:themeTint="F2"/>
        </w:rPr>
        <w:t>Vụ thị trường Châu Phi Tây Nam Á</w:t>
      </w:r>
    </w:p>
    <w:p w14:paraId="004E82A9" w14:textId="77777777" w:rsidR="00C35E9C" w:rsidRPr="00964E24" w:rsidRDefault="00C35E9C" w:rsidP="00964E24">
      <w:pPr>
        <w:jc w:val="both"/>
        <w:rPr>
          <w:rFonts w:ascii="Times New Roman" w:hAnsi="Times New Roman" w:cs="Times New Roman"/>
          <w:color w:val="0D0D0D" w:themeColor="text1" w:themeTint="F2"/>
        </w:rPr>
      </w:pPr>
    </w:p>
    <w:sectPr w:rsidR="00C35E9C" w:rsidRPr="00964E2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4E24"/>
    <w:rsid w:val="00964E24"/>
    <w:rsid w:val="00C35E9C"/>
  </w:rsids>
  <m:mathPr>
    <m:mathFont m:val="Cambria Math"/>
    <m:brkBin m:val="before"/>
    <m:brkBinSub m:val="--"/>
    <m:smallFrac m:val="0"/>
    <m:dispDef/>
    <m:lMargin m:val="0"/>
    <m:rMargin m:val="0"/>
    <m:defJc m:val="centerGroup"/>
    <m:wrapIndent m:val="1440"/>
    <m:intLim m:val="subSup"/>
    <m:naryLim m:val="undOvr"/>
  </m:mathPr>
  <w:themeFontLang w:val="en-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BCAE75"/>
  <w15:chartTrackingRefBased/>
  <w15:docId w15:val="{8AD05B56-5874-0D47-804D-79910DCBC3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V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964E24"/>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4E24"/>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964E24"/>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964E24"/>
    <w:rPr>
      <w:b/>
      <w:bCs/>
    </w:rPr>
  </w:style>
  <w:style w:type="character" w:styleId="Emphasis">
    <w:name w:val="Emphasis"/>
    <w:basedOn w:val="DefaultParagraphFont"/>
    <w:uiPriority w:val="20"/>
    <w:qFormat/>
    <w:rsid w:val="00964E2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7169131">
      <w:bodyDiv w:val="1"/>
      <w:marLeft w:val="0"/>
      <w:marRight w:val="0"/>
      <w:marTop w:val="0"/>
      <w:marBottom w:val="0"/>
      <w:divBdr>
        <w:top w:val="none" w:sz="0" w:space="0" w:color="auto"/>
        <w:left w:val="none" w:sz="0" w:space="0" w:color="auto"/>
        <w:bottom w:val="none" w:sz="0" w:space="0" w:color="auto"/>
        <w:right w:val="none" w:sz="0" w:space="0" w:color="auto"/>
      </w:divBdr>
      <w:divsChild>
        <w:div w:id="613754790">
          <w:marLeft w:val="0"/>
          <w:marRight w:val="0"/>
          <w:marTop w:val="0"/>
          <w:marBottom w:val="225"/>
          <w:divBdr>
            <w:top w:val="none" w:sz="0" w:space="0" w:color="auto"/>
            <w:left w:val="none" w:sz="0" w:space="0" w:color="auto"/>
            <w:bottom w:val="none" w:sz="0" w:space="0" w:color="auto"/>
            <w:right w:val="none" w:sz="0" w:space="0" w:color="auto"/>
          </w:divBdr>
        </w:div>
        <w:div w:id="437527852">
          <w:marLeft w:val="0"/>
          <w:marRight w:val="0"/>
          <w:marTop w:val="0"/>
          <w:marBottom w:val="150"/>
          <w:divBdr>
            <w:top w:val="none" w:sz="0" w:space="0" w:color="auto"/>
            <w:left w:val="none" w:sz="0" w:space="0" w:color="auto"/>
            <w:bottom w:val="none" w:sz="0" w:space="0" w:color="auto"/>
            <w:right w:val="none" w:sz="0" w:space="0" w:color="auto"/>
          </w:divBdr>
        </w:div>
        <w:div w:id="2112897256">
          <w:marLeft w:val="0"/>
          <w:marRight w:val="0"/>
          <w:marTop w:val="0"/>
          <w:marBottom w:val="300"/>
          <w:divBdr>
            <w:top w:val="none" w:sz="0" w:space="0" w:color="auto"/>
            <w:left w:val="none" w:sz="0" w:space="0" w:color="auto"/>
            <w:bottom w:val="none" w:sz="0" w:space="0" w:color="auto"/>
            <w:right w:val="none" w:sz="0" w:space="0" w:color="auto"/>
          </w:divBdr>
        </w:div>
        <w:div w:id="251401444">
          <w:marLeft w:val="0"/>
          <w:marRight w:val="0"/>
          <w:marTop w:val="0"/>
          <w:marBottom w:val="750"/>
          <w:divBdr>
            <w:top w:val="none" w:sz="0" w:space="0" w:color="auto"/>
            <w:left w:val="none" w:sz="0" w:space="0" w:color="auto"/>
            <w:bottom w:val="none" w:sz="0" w:space="0" w:color="auto"/>
            <w:right w:val="none" w:sz="0" w:space="0" w:color="auto"/>
          </w:divBdr>
          <w:divsChild>
            <w:div w:id="600143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1278</Words>
  <Characters>7289</Characters>
  <Application>Microsoft Office Word</Application>
  <DocSecurity>0</DocSecurity>
  <Lines>60</Lines>
  <Paragraphs>17</Paragraphs>
  <ScaleCrop>false</ScaleCrop>
  <Company/>
  <LinksUpToDate>false</LinksUpToDate>
  <CharactersWithSpaces>8550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Pham Linh</dc:creator>
  <cp:keywords/>
  <dc:description/>
  <cp:lastModifiedBy>Pham Linh</cp:lastModifiedBy>
  <cp:revision>1</cp:revision>
  <dcterms:created xsi:type="dcterms:W3CDTF">2022-11-16T02:37:00Z</dcterms:created>
  <dcterms:modified xsi:type="dcterms:W3CDTF">2022-11-16T02:38:00Z</dcterms:modified>
</cp:coreProperties>
</file>