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1131F" w:rsidRPr="0021131F" w:rsidRDefault="0021131F" w:rsidP="0021131F">
      <w:pPr>
        <w:spacing w:after="150" w:line="240" w:lineRule="auto"/>
        <w:rPr>
          <w:rFonts w:ascii="Arial" w:eastAsia="Times New Roman" w:hAnsi="Arial" w:cs="Arial"/>
          <w:b/>
          <w:bCs/>
          <w:color w:val="494949"/>
          <w:sz w:val="18"/>
          <w:szCs w:val="18"/>
        </w:rPr>
      </w:pPr>
      <w:r w:rsidRPr="0021131F">
        <w:rPr>
          <w:rFonts w:ascii="Arial" w:eastAsia="Times New Roman" w:hAnsi="Arial" w:cs="Arial"/>
          <w:b/>
          <w:bCs/>
          <w:color w:val="494949"/>
          <w:sz w:val="18"/>
          <w:szCs w:val="18"/>
        </w:rPr>
        <w:t>  Ni-giê-ri-a là nước sản xuất và xuất khẩu dầu khí lớn nhất Châu Phi và trong tốp đầu của khối OPEC, với trữ lượng 37,2 tỉ thùng, khí đốt 2000 tỉ m3,  Hàng năm Nigeria sản xuất 91 triệu tấn dầu thô, 15 tỷ m3 khí đốt phục vụ tiêu dùng trong nước và xuất khẩu, trung bình khoảng 2,45 triệu thùng dầu/ngày, chiếm 2,94% sản lượng toàn thế giới. Xuất khẩu dầu và các sản phẩm từ dầu mỏ chiếm 95% tổng giá trị xuất khẩu của nước này. Chính phủ Ni-giê-ri-a đã ban hành một số chính sách ưu đãi đầu tư để khuyến khích phát triển ngành công nghiệp dầu khí của Nigeria. Những ưu đãi trong lĩnh vực này dành cho các công ty trong các liên doanh với Tập đoàn Dầu khí quốc gia Nigiêria hoặc đã ký kết Biên bản ghi nhớ hợp tác. Chính sách ưu đãi đầu tư trong ngành công nghiệp dầu khí gồm: • Đảm bảo lợi nhuận tối thiểu 2,50 USD/mỗi thùng dầu; • Tăng nhanh thời gian cho phép khấu hao thu hồi vốn đầu tư thông qua việc không hạn chế thời hạn tối thiểu và có thể chuyển vốn đầu tư ra khỏi liên doanh; • Phí thuê mỏ thống nhất tỷ lệ đồng đều đối với mọi công ty khai thác dầu mỏ. Doanh nghiệp được khấu trừ thuế đầu tư (ITA), mức khấu trừ thuế khác nhau đối với doanh nghiệp khai thác tại mỗi khu vực địa hình như sau: • Trên đất liền - 5% • Ngoài khơi ở độ sâu lên đến 10m - 10% • Ngoài khơi ở độ sâu từ 100m và 200m - 15% • Ngoài khơi ở độ sâu trên 200m - 20% Chính sách ưu đãi đầu tư trong ngành sản xuất khí tự nhiên: Đối với giai đoạn khai thác và sản xuất khí gas: • Mức thuế lợi tức áp dụng tương tự thuế thu nhập doanh nghiệp hiện nay ở mức 30%. • Tỷ lệ khấu hao thu hồi vốn cho phép ở mức 20%/năm trong bốn năm đầu tiên, 19% trong năm thứ năm và 1% còn lại cho các năm tiếp theo. • Thuế đầu tư ở mức 5% theo tỷ giá thời điểm tính. • Phí thuê mỏ ở mức 7% trên bờ và ngoài khơi 5%. Truyền tải và phân phối gas: • Tỷ lệ khấu hao thu hồi vốn như trong giai đoạn sản xuất ở trên. • Thuế suất như trong giai đoạn sản xuất. • Miễn thuế trong giai đoạn đầu. Đối với việc sản xuất khí hoá lỏng LNG: • Mức thuế lợi tức áp dụng theo thuế lợi tức dầu khí (PPT) là 45%. • Tỷ lệ khấu hao thu hồi vốn cho phép là 33%/năm trong ba năm đầu tiên và 1% còn lại cho các năm tiếp theo. • Thuế tín dụng đầu tư là 10%. • Phí thuê mỏ 7% trong đất liền và 5% ở ngoài khơi, khoản phí này được tính khấu trừ thuế. Sản xuất gas tiêu dùng: • Các doanh nghiệp sản xuất gas tiêu dùng nộp thuế theo quy định của Luật thuế thu nhập doanh nghiệp (CITA). • Được miễn thuế thu nhập doanh nghiệp trong ba năm đầu tiên, có thể gia hạn thêm hai năm tiếp theo tuỳ thuộc kết quả hoạt động kinh doanh. • Tăng thời gian cho phép tính khấu hao thu hồi vốn đầu tư trong khoảng thời gian được miễn thuế đến tối đa 90% lượng vốn và 10% trong những năm tiếp theo sau đó. • Chính phủ trợ cấp 15% vốn đầu tư ban đầu, nhưng phần này không được khấu trừ vào tài sản tính thuế. Từ năm 1998, Chính phủ phê duyệt chính sách ưu đãi bổ sung hỗ trợ ngành công nghiệp khí đốt theo các nội dung sau: • Tất cả các dự án sản xuất khí đốt, bao gồm cả những doanh nghiệp  phụ trợ liên quan tham gia như sản xuất điện, nước, phân bón, phân phối khí, đường ống truyền tải được tính thuế theo quy định của thuế thu nhập doanh nghiệp (CITA) mà không phải là thuế lợi nhuận dầu khí PPT; • Việc trợ giá cho các hoạt động sử dụng khí đốt theo quy định từ năm 1997 được mở rộng cho các dự án công nghiệp sử dụng khí đốt, như các nhà máy điện, các nhà máy sản xuất khí hoá lỏng, nhà máy phân bón, phân phối, truyền dẫn khí đốt; • Việc miễn thuế thu nhập doanh nghiệp được mở rộng từ ba năm lên năm năm; • trợ cấp vốn Đầu tư được tăng từ 5% đến 15%; • Lãi suất vay đối với các dự án sản xuất khí đốt được khấu trừ thuế nếu được Bộ Tài chính Liên bang phê duyệt. • Tất cả cổ tức được chia trong thời gian doanh nghiệp được miễn thuế không phải chịu thuế. Trần Quang Tùng</w:t>
      </w:r>
    </w:p>
    <w:p w:rsidR="008A6F9B" w:rsidRPr="0021131F" w:rsidRDefault="008A6F9B" w:rsidP="0021131F">
      <w:bookmarkStart w:id="0" w:name="_GoBack"/>
      <w:bookmarkEnd w:id="0"/>
    </w:p>
    <w:sectPr w:rsidR="008A6F9B" w:rsidRPr="0021131F" w:rsidSect="003740F2">
      <w:pgSz w:w="11907" w:h="16840" w:code="9"/>
      <w:pgMar w:top="1134" w:right="1134" w:bottom="1134" w:left="1701" w:header="720" w:footer="720"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efaultTabStop w:val="720"/>
  <w:drawingGridHorizontalSpacing w:val="140"/>
  <w:drawingGridVerticalSpacing w:val="381"/>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40503"/>
    <w:rsid w:val="00040503"/>
    <w:rsid w:val="00042D0A"/>
    <w:rsid w:val="0021131F"/>
    <w:rsid w:val="00371634"/>
    <w:rsid w:val="003740F2"/>
    <w:rsid w:val="004065A6"/>
    <w:rsid w:val="00430EAE"/>
    <w:rsid w:val="004C6582"/>
    <w:rsid w:val="00635304"/>
    <w:rsid w:val="008A6F9B"/>
    <w:rsid w:val="00983394"/>
    <w:rsid w:val="00D97A43"/>
    <w:rsid w:val="00E34E6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301CC8B-5A0A-4BBA-971E-ED2EBC3D5F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040503"/>
    <w:pPr>
      <w:spacing w:before="100" w:beforeAutospacing="1" w:after="100" w:afterAutospacing="1" w:line="240" w:lineRule="auto"/>
    </w:pPr>
    <w:rPr>
      <w:rFonts w:eastAsia="Times New Roman" w:cs="Times New Roman"/>
      <w:sz w:val="24"/>
      <w:szCs w:val="24"/>
    </w:rPr>
  </w:style>
  <w:style w:type="character" w:styleId="Emphasis">
    <w:name w:val="Emphasis"/>
    <w:basedOn w:val="DefaultParagraphFont"/>
    <w:uiPriority w:val="20"/>
    <w:qFormat/>
    <w:rsid w:val="00040503"/>
    <w:rPr>
      <w:i/>
      <w:iCs/>
    </w:rPr>
  </w:style>
  <w:style w:type="character" w:styleId="Hyperlink">
    <w:name w:val="Hyperlink"/>
    <w:basedOn w:val="DefaultParagraphFont"/>
    <w:uiPriority w:val="99"/>
    <w:semiHidden/>
    <w:unhideWhenUsed/>
    <w:rsid w:val="004C6582"/>
    <w:rPr>
      <w:color w:val="0000FF"/>
      <w:u w:val="single"/>
    </w:rPr>
  </w:style>
  <w:style w:type="character" w:styleId="Strong">
    <w:name w:val="Strong"/>
    <w:basedOn w:val="DefaultParagraphFont"/>
    <w:uiPriority w:val="22"/>
    <w:qFormat/>
    <w:rsid w:val="004C658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9298525">
      <w:bodyDiv w:val="1"/>
      <w:marLeft w:val="0"/>
      <w:marRight w:val="0"/>
      <w:marTop w:val="0"/>
      <w:marBottom w:val="0"/>
      <w:divBdr>
        <w:top w:val="none" w:sz="0" w:space="0" w:color="auto"/>
        <w:left w:val="none" w:sz="0" w:space="0" w:color="auto"/>
        <w:bottom w:val="none" w:sz="0" w:space="0" w:color="auto"/>
        <w:right w:val="none" w:sz="0" w:space="0" w:color="auto"/>
      </w:divBdr>
      <w:divsChild>
        <w:div w:id="1153066577">
          <w:marLeft w:val="0"/>
          <w:marRight w:val="0"/>
          <w:marTop w:val="0"/>
          <w:marBottom w:val="150"/>
          <w:divBdr>
            <w:top w:val="none" w:sz="0" w:space="0" w:color="auto"/>
            <w:left w:val="none" w:sz="0" w:space="0" w:color="auto"/>
            <w:bottom w:val="none" w:sz="0" w:space="0" w:color="auto"/>
            <w:right w:val="none" w:sz="0" w:space="0" w:color="auto"/>
          </w:divBdr>
        </w:div>
        <w:div w:id="1155997765">
          <w:marLeft w:val="0"/>
          <w:marRight w:val="0"/>
          <w:marTop w:val="0"/>
          <w:marBottom w:val="300"/>
          <w:divBdr>
            <w:top w:val="none" w:sz="0" w:space="0" w:color="auto"/>
            <w:left w:val="none" w:sz="0" w:space="0" w:color="auto"/>
            <w:bottom w:val="none" w:sz="0" w:space="0" w:color="auto"/>
            <w:right w:val="none" w:sz="0" w:space="0" w:color="auto"/>
          </w:divBdr>
        </w:div>
      </w:divsChild>
    </w:div>
    <w:div w:id="284041329">
      <w:bodyDiv w:val="1"/>
      <w:marLeft w:val="0"/>
      <w:marRight w:val="0"/>
      <w:marTop w:val="0"/>
      <w:marBottom w:val="0"/>
      <w:divBdr>
        <w:top w:val="none" w:sz="0" w:space="0" w:color="auto"/>
        <w:left w:val="none" w:sz="0" w:space="0" w:color="auto"/>
        <w:bottom w:val="none" w:sz="0" w:space="0" w:color="auto"/>
        <w:right w:val="none" w:sz="0" w:space="0" w:color="auto"/>
      </w:divBdr>
      <w:divsChild>
        <w:div w:id="318776268">
          <w:marLeft w:val="0"/>
          <w:marRight w:val="0"/>
          <w:marTop w:val="0"/>
          <w:marBottom w:val="150"/>
          <w:divBdr>
            <w:top w:val="none" w:sz="0" w:space="0" w:color="auto"/>
            <w:left w:val="none" w:sz="0" w:space="0" w:color="auto"/>
            <w:bottom w:val="none" w:sz="0" w:space="0" w:color="auto"/>
            <w:right w:val="none" w:sz="0" w:space="0" w:color="auto"/>
          </w:divBdr>
        </w:div>
        <w:div w:id="1699970281">
          <w:marLeft w:val="0"/>
          <w:marRight w:val="0"/>
          <w:marTop w:val="0"/>
          <w:marBottom w:val="300"/>
          <w:divBdr>
            <w:top w:val="none" w:sz="0" w:space="0" w:color="auto"/>
            <w:left w:val="none" w:sz="0" w:space="0" w:color="auto"/>
            <w:bottom w:val="none" w:sz="0" w:space="0" w:color="auto"/>
            <w:right w:val="none" w:sz="0" w:space="0" w:color="auto"/>
          </w:divBdr>
        </w:div>
      </w:divsChild>
    </w:div>
    <w:div w:id="425660151">
      <w:bodyDiv w:val="1"/>
      <w:marLeft w:val="0"/>
      <w:marRight w:val="0"/>
      <w:marTop w:val="0"/>
      <w:marBottom w:val="0"/>
      <w:divBdr>
        <w:top w:val="none" w:sz="0" w:space="0" w:color="auto"/>
        <w:left w:val="none" w:sz="0" w:space="0" w:color="auto"/>
        <w:bottom w:val="none" w:sz="0" w:space="0" w:color="auto"/>
        <w:right w:val="none" w:sz="0" w:space="0" w:color="auto"/>
      </w:divBdr>
      <w:divsChild>
        <w:div w:id="1471552372">
          <w:marLeft w:val="0"/>
          <w:marRight w:val="0"/>
          <w:marTop w:val="0"/>
          <w:marBottom w:val="150"/>
          <w:divBdr>
            <w:top w:val="none" w:sz="0" w:space="0" w:color="auto"/>
            <w:left w:val="none" w:sz="0" w:space="0" w:color="auto"/>
            <w:bottom w:val="none" w:sz="0" w:space="0" w:color="auto"/>
            <w:right w:val="none" w:sz="0" w:space="0" w:color="auto"/>
          </w:divBdr>
        </w:div>
        <w:div w:id="1367409501">
          <w:marLeft w:val="0"/>
          <w:marRight w:val="0"/>
          <w:marTop w:val="0"/>
          <w:marBottom w:val="300"/>
          <w:divBdr>
            <w:top w:val="none" w:sz="0" w:space="0" w:color="auto"/>
            <w:left w:val="none" w:sz="0" w:space="0" w:color="auto"/>
            <w:bottom w:val="none" w:sz="0" w:space="0" w:color="auto"/>
            <w:right w:val="none" w:sz="0" w:space="0" w:color="auto"/>
          </w:divBdr>
        </w:div>
      </w:divsChild>
    </w:div>
    <w:div w:id="680355201">
      <w:bodyDiv w:val="1"/>
      <w:marLeft w:val="0"/>
      <w:marRight w:val="0"/>
      <w:marTop w:val="0"/>
      <w:marBottom w:val="0"/>
      <w:divBdr>
        <w:top w:val="none" w:sz="0" w:space="0" w:color="auto"/>
        <w:left w:val="none" w:sz="0" w:space="0" w:color="auto"/>
        <w:bottom w:val="none" w:sz="0" w:space="0" w:color="auto"/>
        <w:right w:val="none" w:sz="0" w:space="0" w:color="auto"/>
      </w:divBdr>
      <w:divsChild>
        <w:div w:id="1742872862">
          <w:marLeft w:val="0"/>
          <w:marRight w:val="0"/>
          <w:marTop w:val="0"/>
          <w:marBottom w:val="150"/>
          <w:divBdr>
            <w:top w:val="none" w:sz="0" w:space="0" w:color="auto"/>
            <w:left w:val="none" w:sz="0" w:space="0" w:color="auto"/>
            <w:bottom w:val="none" w:sz="0" w:space="0" w:color="auto"/>
            <w:right w:val="none" w:sz="0" w:space="0" w:color="auto"/>
          </w:divBdr>
        </w:div>
        <w:div w:id="285963161">
          <w:marLeft w:val="0"/>
          <w:marRight w:val="0"/>
          <w:marTop w:val="0"/>
          <w:marBottom w:val="300"/>
          <w:divBdr>
            <w:top w:val="none" w:sz="0" w:space="0" w:color="auto"/>
            <w:left w:val="none" w:sz="0" w:space="0" w:color="auto"/>
            <w:bottom w:val="none" w:sz="0" w:space="0" w:color="auto"/>
            <w:right w:val="none" w:sz="0" w:space="0" w:color="auto"/>
          </w:divBdr>
        </w:div>
      </w:divsChild>
    </w:div>
    <w:div w:id="942154117">
      <w:bodyDiv w:val="1"/>
      <w:marLeft w:val="0"/>
      <w:marRight w:val="0"/>
      <w:marTop w:val="0"/>
      <w:marBottom w:val="0"/>
      <w:divBdr>
        <w:top w:val="none" w:sz="0" w:space="0" w:color="auto"/>
        <w:left w:val="none" w:sz="0" w:space="0" w:color="auto"/>
        <w:bottom w:val="none" w:sz="0" w:space="0" w:color="auto"/>
        <w:right w:val="none" w:sz="0" w:space="0" w:color="auto"/>
      </w:divBdr>
      <w:divsChild>
        <w:div w:id="69235965">
          <w:marLeft w:val="0"/>
          <w:marRight w:val="0"/>
          <w:marTop w:val="0"/>
          <w:marBottom w:val="150"/>
          <w:divBdr>
            <w:top w:val="none" w:sz="0" w:space="0" w:color="auto"/>
            <w:left w:val="none" w:sz="0" w:space="0" w:color="auto"/>
            <w:bottom w:val="none" w:sz="0" w:space="0" w:color="auto"/>
            <w:right w:val="none" w:sz="0" w:space="0" w:color="auto"/>
          </w:divBdr>
        </w:div>
      </w:divsChild>
    </w:div>
    <w:div w:id="1031222093">
      <w:bodyDiv w:val="1"/>
      <w:marLeft w:val="0"/>
      <w:marRight w:val="0"/>
      <w:marTop w:val="0"/>
      <w:marBottom w:val="0"/>
      <w:divBdr>
        <w:top w:val="none" w:sz="0" w:space="0" w:color="auto"/>
        <w:left w:val="none" w:sz="0" w:space="0" w:color="auto"/>
        <w:bottom w:val="none" w:sz="0" w:space="0" w:color="auto"/>
        <w:right w:val="none" w:sz="0" w:space="0" w:color="auto"/>
      </w:divBdr>
      <w:divsChild>
        <w:div w:id="1520196765">
          <w:marLeft w:val="0"/>
          <w:marRight w:val="0"/>
          <w:marTop w:val="0"/>
          <w:marBottom w:val="150"/>
          <w:divBdr>
            <w:top w:val="none" w:sz="0" w:space="0" w:color="auto"/>
            <w:left w:val="none" w:sz="0" w:space="0" w:color="auto"/>
            <w:bottom w:val="none" w:sz="0" w:space="0" w:color="auto"/>
            <w:right w:val="none" w:sz="0" w:space="0" w:color="auto"/>
          </w:divBdr>
        </w:div>
        <w:div w:id="608515768">
          <w:marLeft w:val="0"/>
          <w:marRight w:val="0"/>
          <w:marTop w:val="0"/>
          <w:marBottom w:val="300"/>
          <w:divBdr>
            <w:top w:val="none" w:sz="0" w:space="0" w:color="auto"/>
            <w:left w:val="none" w:sz="0" w:space="0" w:color="auto"/>
            <w:bottom w:val="none" w:sz="0" w:space="0" w:color="auto"/>
            <w:right w:val="none" w:sz="0" w:space="0" w:color="auto"/>
          </w:divBdr>
        </w:div>
      </w:divsChild>
    </w:div>
    <w:div w:id="1249928198">
      <w:bodyDiv w:val="1"/>
      <w:marLeft w:val="0"/>
      <w:marRight w:val="0"/>
      <w:marTop w:val="0"/>
      <w:marBottom w:val="0"/>
      <w:divBdr>
        <w:top w:val="none" w:sz="0" w:space="0" w:color="auto"/>
        <w:left w:val="none" w:sz="0" w:space="0" w:color="auto"/>
        <w:bottom w:val="none" w:sz="0" w:space="0" w:color="auto"/>
        <w:right w:val="none" w:sz="0" w:space="0" w:color="auto"/>
      </w:divBdr>
      <w:divsChild>
        <w:div w:id="376511895">
          <w:marLeft w:val="0"/>
          <w:marRight w:val="0"/>
          <w:marTop w:val="0"/>
          <w:marBottom w:val="150"/>
          <w:divBdr>
            <w:top w:val="none" w:sz="0" w:space="0" w:color="auto"/>
            <w:left w:val="none" w:sz="0" w:space="0" w:color="auto"/>
            <w:bottom w:val="none" w:sz="0" w:space="0" w:color="auto"/>
            <w:right w:val="none" w:sz="0" w:space="0" w:color="auto"/>
          </w:divBdr>
        </w:div>
        <w:div w:id="1277716696">
          <w:marLeft w:val="0"/>
          <w:marRight w:val="0"/>
          <w:marTop w:val="0"/>
          <w:marBottom w:val="300"/>
          <w:divBdr>
            <w:top w:val="none" w:sz="0" w:space="0" w:color="auto"/>
            <w:left w:val="none" w:sz="0" w:space="0" w:color="auto"/>
            <w:bottom w:val="none" w:sz="0" w:space="0" w:color="auto"/>
            <w:right w:val="none" w:sz="0" w:space="0" w:color="auto"/>
          </w:divBdr>
        </w:div>
      </w:divsChild>
    </w:div>
    <w:div w:id="1479569917">
      <w:bodyDiv w:val="1"/>
      <w:marLeft w:val="0"/>
      <w:marRight w:val="0"/>
      <w:marTop w:val="0"/>
      <w:marBottom w:val="0"/>
      <w:divBdr>
        <w:top w:val="none" w:sz="0" w:space="0" w:color="auto"/>
        <w:left w:val="none" w:sz="0" w:space="0" w:color="auto"/>
        <w:bottom w:val="none" w:sz="0" w:space="0" w:color="auto"/>
        <w:right w:val="none" w:sz="0" w:space="0" w:color="auto"/>
      </w:divBdr>
      <w:divsChild>
        <w:div w:id="648629313">
          <w:marLeft w:val="0"/>
          <w:marRight w:val="0"/>
          <w:marTop w:val="0"/>
          <w:marBottom w:val="150"/>
          <w:divBdr>
            <w:top w:val="none" w:sz="0" w:space="0" w:color="auto"/>
            <w:left w:val="none" w:sz="0" w:space="0" w:color="auto"/>
            <w:bottom w:val="none" w:sz="0" w:space="0" w:color="auto"/>
            <w:right w:val="none" w:sz="0" w:space="0" w:color="auto"/>
          </w:divBdr>
        </w:div>
        <w:div w:id="2139184046">
          <w:marLeft w:val="0"/>
          <w:marRight w:val="0"/>
          <w:marTop w:val="0"/>
          <w:marBottom w:val="300"/>
          <w:divBdr>
            <w:top w:val="none" w:sz="0" w:space="0" w:color="auto"/>
            <w:left w:val="none" w:sz="0" w:space="0" w:color="auto"/>
            <w:bottom w:val="none" w:sz="0" w:space="0" w:color="auto"/>
            <w:right w:val="none" w:sz="0" w:space="0" w:color="auto"/>
          </w:divBdr>
        </w:div>
      </w:divsChild>
    </w:div>
    <w:div w:id="2020548520">
      <w:bodyDiv w:val="1"/>
      <w:marLeft w:val="0"/>
      <w:marRight w:val="0"/>
      <w:marTop w:val="0"/>
      <w:marBottom w:val="0"/>
      <w:divBdr>
        <w:top w:val="none" w:sz="0" w:space="0" w:color="auto"/>
        <w:left w:val="none" w:sz="0" w:space="0" w:color="auto"/>
        <w:bottom w:val="none" w:sz="0" w:space="0" w:color="auto"/>
        <w:right w:val="none" w:sz="0" w:space="0" w:color="auto"/>
      </w:divBdr>
      <w:divsChild>
        <w:div w:id="793254369">
          <w:marLeft w:val="0"/>
          <w:marRight w:val="0"/>
          <w:marTop w:val="0"/>
          <w:marBottom w:val="150"/>
          <w:divBdr>
            <w:top w:val="none" w:sz="0" w:space="0" w:color="auto"/>
            <w:left w:val="none" w:sz="0" w:space="0" w:color="auto"/>
            <w:bottom w:val="none" w:sz="0" w:space="0" w:color="auto"/>
            <w:right w:val="none" w:sz="0" w:space="0" w:color="auto"/>
          </w:divBdr>
        </w:div>
        <w:div w:id="1660696296">
          <w:marLeft w:val="0"/>
          <w:marRight w:val="0"/>
          <w:marTop w:val="0"/>
          <w:marBottom w:val="300"/>
          <w:divBdr>
            <w:top w:val="none" w:sz="0" w:space="0" w:color="auto"/>
            <w:left w:val="none" w:sz="0" w:space="0" w:color="auto"/>
            <w:bottom w:val="none" w:sz="0" w:space="0" w:color="auto"/>
            <w:right w:val="none" w:sz="0" w:space="0" w:color="auto"/>
          </w:divBdr>
        </w:div>
      </w:divsChild>
    </w:div>
    <w:div w:id="2043093851">
      <w:bodyDiv w:val="1"/>
      <w:marLeft w:val="0"/>
      <w:marRight w:val="0"/>
      <w:marTop w:val="0"/>
      <w:marBottom w:val="0"/>
      <w:divBdr>
        <w:top w:val="none" w:sz="0" w:space="0" w:color="auto"/>
        <w:left w:val="none" w:sz="0" w:space="0" w:color="auto"/>
        <w:bottom w:val="none" w:sz="0" w:space="0" w:color="auto"/>
        <w:right w:val="none" w:sz="0" w:space="0" w:color="auto"/>
      </w:divBdr>
      <w:divsChild>
        <w:div w:id="1783186342">
          <w:marLeft w:val="0"/>
          <w:marRight w:val="0"/>
          <w:marTop w:val="0"/>
          <w:marBottom w:val="150"/>
          <w:divBdr>
            <w:top w:val="none" w:sz="0" w:space="0" w:color="auto"/>
            <w:left w:val="none" w:sz="0" w:space="0" w:color="auto"/>
            <w:bottom w:val="none" w:sz="0" w:space="0" w:color="auto"/>
            <w:right w:val="none" w:sz="0" w:space="0" w:color="auto"/>
          </w:divBdr>
        </w:div>
        <w:div w:id="1330258232">
          <w:marLeft w:val="0"/>
          <w:marRight w:val="0"/>
          <w:marTop w:val="0"/>
          <w:marBottom w:val="30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565</Words>
  <Characters>3226</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3784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cp:revision>
  <dcterms:created xsi:type="dcterms:W3CDTF">2022-09-18T07:33:00Z</dcterms:created>
  <dcterms:modified xsi:type="dcterms:W3CDTF">2022-09-18T07:33:00Z</dcterms:modified>
</cp:coreProperties>
</file>