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25820" w14:textId="77777777" w:rsidR="00E04E82" w:rsidRPr="00E04E82" w:rsidRDefault="00E04E82" w:rsidP="00E04E82">
      <w:pPr>
        <w:jc w:val="center"/>
        <w:outlineLvl w:val="0"/>
        <w:rPr>
          <w:rFonts w:ascii="Times New Roman" w:eastAsia="Times New Roman" w:hAnsi="Times New Roman" w:cs="Times New Roman"/>
          <w:b/>
          <w:bCs/>
          <w:color w:val="000000" w:themeColor="text1"/>
          <w:kern w:val="36"/>
        </w:rPr>
      </w:pPr>
      <w:r w:rsidRPr="00E04E82">
        <w:rPr>
          <w:rFonts w:ascii="Times New Roman" w:eastAsia="Times New Roman" w:hAnsi="Times New Roman" w:cs="Times New Roman"/>
          <w:b/>
          <w:bCs/>
          <w:color w:val="000000" w:themeColor="text1"/>
          <w:kern w:val="36"/>
        </w:rPr>
        <w:t>Thị trường xi măng của Úc</w:t>
      </w:r>
    </w:p>
    <w:p w14:paraId="4D7BA09C" w14:textId="77777777" w:rsidR="00E04E82" w:rsidRPr="00E04E82" w:rsidRDefault="00E04E82" w:rsidP="00E04E82">
      <w:pPr>
        <w:jc w:val="both"/>
        <w:rPr>
          <w:rFonts w:ascii="Times New Roman" w:eastAsia="Times New Roman" w:hAnsi="Times New Roman" w:cs="Times New Roman"/>
          <w:b/>
          <w:bCs/>
          <w:color w:val="000000" w:themeColor="text1"/>
        </w:rPr>
      </w:pPr>
      <w:r w:rsidRPr="00E04E82">
        <w:rPr>
          <w:rFonts w:ascii="Times New Roman" w:eastAsia="Times New Roman" w:hAnsi="Times New Roman" w:cs="Times New Roman"/>
          <w:b/>
          <w:bCs/>
          <w:color w:val="000000" w:themeColor="text1"/>
        </w:rPr>
        <w:t>Nhập khẩu xi măng của Úc trước năm 2013 chủ yếu từ Trung Quốc (48%), Đài Loan (43%) và Thái Lan (7%) (bảng 2). Tuy nhiên, kể từ năm 2013 đến nay, xi măng và clinker của Việt Nam đã có chỗ đứng tại thị trường Úc và ngày càng tăng mạnh</w:t>
      </w:r>
    </w:p>
    <w:p w14:paraId="1ACD6A79" w14:textId="77777777" w:rsidR="00E04E82" w:rsidRPr="00E04E82" w:rsidRDefault="00E04E82" w:rsidP="00E04E82">
      <w:pPr>
        <w:jc w:val="both"/>
        <w:outlineLvl w:val="0"/>
        <w:rPr>
          <w:rFonts w:ascii="Times New Roman" w:eastAsia="Times New Roman" w:hAnsi="Times New Roman" w:cs="Times New Roman"/>
          <w:b/>
          <w:bCs/>
          <w:color w:val="000000" w:themeColor="text1"/>
          <w:kern w:val="36"/>
        </w:rPr>
      </w:pPr>
      <w:r w:rsidRPr="00E04E82">
        <w:rPr>
          <w:rFonts w:ascii="Times New Roman" w:eastAsia="Times New Roman" w:hAnsi="Times New Roman" w:cs="Times New Roman"/>
          <w:b/>
          <w:bCs/>
          <w:color w:val="000000" w:themeColor="text1"/>
          <w:kern w:val="36"/>
        </w:rPr>
        <w:t>1. Sản lượng xi măng của Úc</w:t>
      </w:r>
    </w:p>
    <w:p w14:paraId="557A69B7"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Sản lượng clinker của Úc đạt 6,3 triệu tấn trong năm 2012-2013, giảm 4,7% so với 2011-2012.  Sản lượng xi măng của Úc đạt 8,6 triệu tấn năm 2012-2013 giảm 0,7% so với  năm 2011-2012 </w:t>
      </w:r>
      <w:r w:rsidRPr="00E04E82">
        <w:rPr>
          <w:rFonts w:ascii="Times New Roman" w:eastAsia="Times New Roman" w:hAnsi="Times New Roman" w:cs="Times New Roman"/>
          <w:i/>
          <w:iCs/>
          <w:color w:val="000000" w:themeColor="text1"/>
        </w:rPr>
        <w:t>(bảng 1)</w:t>
      </w:r>
      <w:r w:rsidRPr="00E04E82">
        <w:rPr>
          <w:rFonts w:ascii="Times New Roman" w:eastAsia="Times New Roman" w:hAnsi="Times New Roman" w:cs="Times New Roman"/>
          <w:color w:val="000000" w:themeColor="text1"/>
        </w:rPr>
        <w:t>. Tuy nhiên, dự báo sản lượng sẽ tăng lên 10 triệu tấn trong năm 2014-2015 do nhu cầu lớn trong ngành xây dựng và các dự án lớn trong ngành khai mỏ.</w:t>
      </w:r>
    </w:p>
    <w:p w14:paraId="01109F5C"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 </w:t>
      </w:r>
    </w:p>
    <w:p w14:paraId="1C44C7A6" w14:textId="73CC2AFA"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 Nhu cầu sử dụng xi măng cao nhưng do sản xuất xi măng ảnh hưởng tới môi trường, giá thành sản xuất trong nước cao nên hàng năm Úc vẫn nhập khẩu một lượng lớn xi măng và thị phần nhập khẩu từ Việt Nam ngày càng tăng mạnh.</w:t>
      </w:r>
    </w:p>
    <w:p w14:paraId="15ABE12E"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2. Số liệu nhập khẩu xi măng của Úc</w:t>
      </w:r>
    </w:p>
    <w:p w14:paraId="7DEA6C30"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Úc ngày càng nhập khẩu nhiều clinker và xi măng do giá thành đầu vào sản xuất xi măng trong nước tăng. Năm 2012-2013 Úc nhập khẩu clinker chủ yếu từ Nhật Bản (65%) và Trung Quốc (30%) </w:t>
      </w:r>
      <w:r w:rsidRPr="00E04E82">
        <w:rPr>
          <w:rFonts w:ascii="Times New Roman" w:eastAsia="Times New Roman" w:hAnsi="Times New Roman" w:cs="Times New Roman"/>
          <w:i/>
          <w:iCs/>
          <w:color w:val="000000" w:themeColor="text1"/>
        </w:rPr>
        <w:t>(bảng 2)</w:t>
      </w:r>
      <w:r w:rsidRPr="00E04E82">
        <w:rPr>
          <w:rFonts w:ascii="Times New Roman" w:eastAsia="Times New Roman" w:hAnsi="Times New Roman" w:cs="Times New Roman"/>
          <w:color w:val="000000" w:themeColor="text1"/>
        </w:rPr>
        <w:t>.</w:t>
      </w:r>
    </w:p>
    <w:p w14:paraId="25455C69"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Năm 2012-2013, Úc nhập khẩu 1,86 triệu tấn clinker tăng  hơn 11% so với năm 2011-2012 (1,67 triệu tấn) nhưng giảm khoảng 5% so với năm 2010-2011 (1,94 triệu tấn) </w:t>
      </w:r>
      <w:r w:rsidRPr="00E04E82">
        <w:rPr>
          <w:rFonts w:ascii="Times New Roman" w:eastAsia="Times New Roman" w:hAnsi="Times New Roman" w:cs="Times New Roman"/>
          <w:i/>
          <w:iCs/>
          <w:color w:val="000000" w:themeColor="text1"/>
        </w:rPr>
        <w:t>(bảng 3)</w:t>
      </w:r>
      <w:r w:rsidRPr="00E04E82">
        <w:rPr>
          <w:rFonts w:ascii="Times New Roman" w:eastAsia="Times New Roman" w:hAnsi="Times New Roman" w:cs="Times New Roman"/>
          <w:color w:val="000000" w:themeColor="text1"/>
        </w:rPr>
        <w:t>.</w:t>
      </w:r>
    </w:p>
    <w:p w14:paraId="70F6DC11"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Năm 2012-2013, Úc nhập khẩu 0,56 triệu tấn xi măng porland, giảm 3% so với năm 2011-2012.</w:t>
      </w:r>
    </w:p>
    <w:p w14:paraId="496573A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Nhập khẩu xi măng của Úc trước năm 2013 chủ yếu từ Trung Quốc (48%), Đài Loan (43%) và Thái Lan (7%) </w:t>
      </w:r>
      <w:r w:rsidRPr="00E04E82">
        <w:rPr>
          <w:rFonts w:ascii="Times New Roman" w:eastAsia="Times New Roman" w:hAnsi="Times New Roman" w:cs="Times New Roman"/>
          <w:i/>
          <w:iCs/>
          <w:color w:val="000000" w:themeColor="text1"/>
        </w:rPr>
        <w:t>(bảng 2)</w:t>
      </w:r>
      <w:r w:rsidRPr="00E04E82">
        <w:rPr>
          <w:rFonts w:ascii="Times New Roman" w:eastAsia="Times New Roman" w:hAnsi="Times New Roman" w:cs="Times New Roman"/>
          <w:color w:val="000000" w:themeColor="text1"/>
        </w:rPr>
        <w:t>. Tuy nhiên, kể từ năm 2013 đến nay, xi măng và clinker của Việt Nam đã có chỗ đứng tại thị trường Úc và ngày càng tăng mạnh </w:t>
      </w:r>
      <w:r w:rsidRPr="00E04E82">
        <w:rPr>
          <w:rFonts w:ascii="Times New Roman" w:eastAsia="Times New Roman" w:hAnsi="Times New Roman" w:cs="Times New Roman"/>
          <w:i/>
          <w:iCs/>
          <w:color w:val="000000" w:themeColor="text1"/>
        </w:rPr>
        <w:t>(bảng 4).</w:t>
      </w:r>
    </w:p>
    <w:p w14:paraId="5412DB0F"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Bảng 2: Nhập khẩu clinker từ năm 2004-2013 theo thị trường</w:t>
      </w:r>
    </w:p>
    <w:p w14:paraId="726A9EEB"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i/>
          <w:iCs/>
          <w:color w:val="000000" w:themeColor="text1"/>
        </w:rPr>
        <w:t>                                                                               Đơn vị tính: triệu tấn</w:t>
      </w:r>
    </w:p>
    <w:p w14:paraId="7F5FA0B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Nhập khẩu clinker và xi măng Portland từ năm 2004-2013</w:t>
      </w:r>
    </w:p>
    <w:p w14:paraId="12A59CB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i/>
          <w:iCs/>
          <w:color w:val="000000" w:themeColor="text1"/>
        </w:rPr>
        <w:t>                                                                               Đơn vị tính: triệu tấn</w:t>
      </w:r>
    </w:p>
    <w:p w14:paraId="767A0BA4"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 </w:t>
      </w:r>
    </w:p>
    <w:p w14:paraId="431D99C0"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Bảng 4: Số liệu nhập khẩu một số loại xi măng và clinker của Úc từ thế giới và từ Việt Nam</w:t>
      </w:r>
    </w:p>
    <w:p w14:paraId="61A0284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i/>
          <w:iCs/>
          <w:color w:val="000000" w:themeColor="text1"/>
        </w:rPr>
        <w:t> Đơn vị tính: AUD</w:t>
      </w:r>
    </w:p>
    <w:tbl>
      <w:tblPr>
        <w:tblW w:w="84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9"/>
        <w:gridCol w:w="787"/>
        <w:gridCol w:w="1034"/>
        <w:gridCol w:w="755"/>
        <w:gridCol w:w="607"/>
        <w:gridCol w:w="1034"/>
        <w:gridCol w:w="923"/>
        <w:gridCol w:w="607"/>
        <w:gridCol w:w="1146"/>
        <w:gridCol w:w="1034"/>
        <w:gridCol w:w="718"/>
      </w:tblGrid>
      <w:tr w:rsidR="00E04E82" w:rsidRPr="00E04E82" w14:paraId="3A7D9AE1" w14:textId="77777777" w:rsidTr="00E04E82">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5836EBBC"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HS</w:t>
            </w:r>
          </w:p>
        </w:tc>
        <w:tc>
          <w:tcPr>
            <w:tcW w:w="960" w:type="dxa"/>
            <w:tcBorders>
              <w:top w:val="outset" w:sz="6" w:space="0" w:color="auto"/>
              <w:left w:val="outset" w:sz="6" w:space="0" w:color="auto"/>
              <w:bottom w:val="outset" w:sz="6" w:space="0" w:color="auto"/>
              <w:right w:val="outset" w:sz="6" w:space="0" w:color="auto"/>
            </w:tcBorders>
            <w:hideMark/>
          </w:tcPr>
          <w:p w14:paraId="4DFE7C5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Mặt hàng</w:t>
            </w:r>
          </w:p>
        </w:tc>
        <w:tc>
          <w:tcPr>
            <w:tcW w:w="750" w:type="dxa"/>
            <w:tcBorders>
              <w:top w:val="outset" w:sz="6" w:space="0" w:color="auto"/>
              <w:left w:val="outset" w:sz="6" w:space="0" w:color="auto"/>
              <w:bottom w:val="outset" w:sz="6" w:space="0" w:color="auto"/>
              <w:right w:val="outset" w:sz="6" w:space="0" w:color="auto"/>
            </w:tcBorders>
            <w:hideMark/>
          </w:tcPr>
          <w:p w14:paraId="36F5D94C"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Tổng NK từ thế giới năm 2012</w:t>
            </w:r>
          </w:p>
        </w:tc>
        <w:tc>
          <w:tcPr>
            <w:tcW w:w="750" w:type="dxa"/>
            <w:tcBorders>
              <w:top w:val="outset" w:sz="6" w:space="0" w:color="auto"/>
              <w:left w:val="outset" w:sz="6" w:space="0" w:color="auto"/>
              <w:bottom w:val="outset" w:sz="6" w:space="0" w:color="auto"/>
              <w:right w:val="outset" w:sz="6" w:space="0" w:color="auto"/>
            </w:tcBorders>
            <w:hideMark/>
          </w:tcPr>
          <w:p w14:paraId="109E0677"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NK từ Việt Nam năm 2012</w:t>
            </w:r>
          </w:p>
        </w:tc>
        <w:tc>
          <w:tcPr>
            <w:tcW w:w="750" w:type="dxa"/>
            <w:tcBorders>
              <w:top w:val="outset" w:sz="6" w:space="0" w:color="auto"/>
              <w:left w:val="outset" w:sz="6" w:space="0" w:color="auto"/>
              <w:bottom w:val="outset" w:sz="6" w:space="0" w:color="auto"/>
              <w:right w:val="outset" w:sz="6" w:space="0" w:color="auto"/>
            </w:tcBorders>
            <w:hideMark/>
          </w:tcPr>
          <w:p w14:paraId="196AAC25"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Thị phần của Việt Nam năm 2012</w:t>
            </w:r>
          </w:p>
        </w:tc>
        <w:tc>
          <w:tcPr>
            <w:tcW w:w="750" w:type="dxa"/>
            <w:tcBorders>
              <w:top w:val="outset" w:sz="6" w:space="0" w:color="auto"/>
              <w:left w:val="outset" w:sz="6" w:space="0" w:color="auto"/>
              <w:bottom w:val="outset" w:sz="6" w:space="0" w:color="auto"/>
              <w:right w:val="outset" w:sz="6" w:space="0" w:color="auto"/>
            </w:tcBorders>
            <w:hideMark/>
          </w:tcPr>
          <w:p w14:paraId="2C5AC1AA"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Tổng NK từ thế giới năm 2013</w:t>
            </w:r>
          </w:p>
        </w:tc>
        <w:tc>
          <w:tcPr>
            <w:tcW w:w="750" w:type="dxa"/>
            <w:tcBorders>
              <w:top w:val="outset" w:sz="6" w:space="0" w:color="auto"/>
              <w:left w:val="outset" w:sz="6" w:space="0" w:color="auto"/>
              <w:bottom w:val="outset" w:sz="6" w:space="0" w:color="auto"/>
              <w:right w:val="outset" w:sz="6" w:space="0" w:color="auto"/>
            </w:tcBorders>
            <w:hideMark/>
          </w:tcPr>
          <w:p w14:paraId="30C44F6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NK từ Việt Nam năm 2013</w:t>
            </w:r>
          </w:p>
        </w:tc>
        <w:tc>
          <w:tcPr>
            <w:tcW w:w="750" w:type="dxa"/>
            <w:tcBorders>
              <w:top w:val="outset" w:sz="6" w:space="0" w:color="auto"/>
              <w:left w:val="outset" w:sz="6" w:space="0" w:color="auto"/>
              <w:bottom w:val="outset" w:sz="6" w:space="0" w:color="auto"/>
              <w:right w:val="outset" w:sz="6" w:space="0" w:color="auto"/>
            </w:tcBorders>
            <w:hideMark/>
          </w:tcPr>
          <w:p w14:paraId="7627088B"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Thị phần của Việt Nam năm 2013</w:t>
            </w:r>
          </w:p>
        </w:tc>
        <w:tc>
          <w:tcPr>
            <w:tcW w:w="750" w:type="dxa"/>
            <w:tcBorders>
              <w:top w:val="outset" w:sz="6" w:space="0" w:color="auto"/>
              <w:left w:val="outset" w:sz="6" w:space="0" w:color="auto"/>
              <w:bottom w:val="outset" w:sz="6" w:space="0" w:color="auto"/>
              <w:right w:val="outset" w:sz="6" w:space="0" w:color="auto"/>
            </w:tcBorders>
            <w:hideMark/>
          </w:tcPr>
          <w:p w14:paraId="527FAC70"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Tổng NK từ thế giới năm 2014</w:t>
            </w:r>
          </w:p>
        </w:tc>
        <w:tc>
          <w:tcPr>
            <w:tcW w:w="855" w:type="dxa"/>
            <w:tcBorders>
              <w:top w:val="outset" w:sz="6" w:space="0" w:color="auto"/>
              <w:left w:val="outset" w:sz="6" w:space="0" w:color="auto"/>
              <w:bottom w:val="outset" w:sz="6" w:space="0" w:color="auto"/>
              <w:right w:val="outset" w:sz="6" w:space="0" w:color="auto"/>
            </w:tcBorders>
            <w:hideMark/>
          </w:tcPr>
          <w:p w14:paraId="07072CEB"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NK từ Việt Nam năm 2014</w:t>
            </w:r>
          </w:p>
        </w:tc>
        <w:tc>
          <w:tcPr>
            <w:tcW w:w="855" w:type="dxa"/>
            <w:tcBorders>
              <w:top w:val="outset" w:sz="6" w:space="0" w:color="auto"/>
              <w:left w:val="outset" w:sz="6" w:space="0" w:color="auto"/>
              <w:bottom w:val="outset" w:sz="6" w:space="0" w:color="auto"/>
              <w:right w:val="outset" w:sz="6" w:space="0" w:color="auto"/>
            </w:tcBorders>
            <w:hideMark/>
          </w:tcPr>
          <w:p w14:paraId="3952D9E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b/>
                <w:bCs/>
                <w:color w:val="000000" w:themeColor="text1"/>
              </w:rPr>
              <w:t>Thị phần của Việt Nam tại Úc năm 2014</w:t>
            </w:r>
          </w:p>
        </w:tc>
      </w:tr>
      <w:tr w:rsidR="00E04E82" w:rsidRPr="00E04E82" w14:paraId="0074A276" w14:textId="77777777" w:rsidTr="00E04E82">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7FAB732A"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252310</w:t>
            </w:r>
          </w:p>
        </w:tc>
        <w:tc>
          <w:tcPr>
            <w:tcW w:w="960" w:type="dxa"/>
            <w:tcBorders>
              <w:top w:val="outset" w:sz="6" w:space="0" w:color="auto"/>
              <w:left w:val="outset" w:sz="6" w:space="0" w:color="auto"/>
              <w:bottom w:val="outset" w:sz="6" w:space="0" w:color="auto"/>
              <w:right w:val="outset" w:sz="6" w:space="0" w:color="auto"/>
            </w:tcBorders>
            <w:hideMark/>
          </w:tcPr>
          <w:p w14:paraId="6F6E12C2"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Cement clinkers</w:t>
            </w:r>
          </w:p>
        </w:tc>
        <w:tc>
          <w:tcPr>
            <w:tcW w:w="750" w:type="dxa"/>
            <w:tcBorders>
              <w:top w:val="outset" w:sz="6" w:space="0" w:color="auto"/>
              <w:left w:val="outset" w:sz="6" w:space="0" w:color="auto"/>
              <w:bottom w:val="outset" w:sz="6" w:space="0" w:color="auto"/>
              <w:right w:val="outset" w:sz="6" w:space="0" w:color="auto"/>
            </w:tcBorders>
            <w:hideMark/>
          </w:tcPr>
          <w:p w14:paraId="6CD28A1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71.999.000</w:t>
            </w:r>
          </w:p>
        </w:tc>
        <w:tc>
          <w:tcPr>
            <w:tcW w:w="750" w:type="dxa"/>
            <w:tcBorders>
              <w:top w:val="outset" w:sz="6" w:space="0" w:color="auto"/>
              <w:left w:val="outset" w:sz="6" w:space="0" w:color="auto"/>
              <w:bottom w:val="outset" w:sz="6" w:space="0" w:color="auto"/>
              <w:right w:val="outset" w:sz="6" w:space="0" w:color="auto"/>
            </w:tcBorders>
            <w:hideMark/>
          </w:tcPr>
          <w:p w14:paraId="6408B107"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w:t>
            </w:r>
          </w:p>
        </w:tc>
        <w:tc>
          <w:tcPr>
            <w:tcW w:w="750" w:type="dxa"/>
            <w:tcBorders>
              <w:top w:val="outset" w:sz="6" w:space="0" w:color="auto"/>
              <w:left w:val="outset" w:sz="6" w:space="0" w:color="auto"/>
              <w:bottom w:val="outset" w:sz="6" w:space="0" w:color="auto"/>
              <w:right w:val="outset" w:sz="6" w:space="0" w:color="auto"/>
            </w:tcBorders>
            <w:hideMark/>
          </w:tcPr>
          <w:p w14:paraId="3C7C528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hideMark/>
          </w:tcPr>
          <w:p w14:paraId="0877D27A"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95.891.000</w:t>
            </w:r>
          </w:p>
        </w:tc>
        <w:tc>
          <w:tcPr>
            <w:tcW w:w="750" w:type="dxa"/>
            <w:tcBorders>
              <w:top w:val="outset" w:sz="6" w:space="0" w:color="auto"/>
              <w:left w:val="outset" w:sz="6" w:space="0" w:color="auto"/>
              <w:bottom w:val="outset" w:sz="6" w:space="0" w:color="auto"/>
              <w:right w:val="outset" w:sz="6" w:space="0" w:color="auto"/>
            </w:tcBorders>
            <w:hideMark/>
          </w:tcPr>
          <w:p w14:paraId="77D25155"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7.304.000</w:t>
            </w:r>
          </w:p>
        </w:tc>
        <w:tc>
          <w:tcPr>
            <w:tcW w:w="750" w:type="dxa"/>
            <w:tcBorders>
              <w:top w:val="outset" w:sz="6" w:space="0" w:color="auto"/>
              <w:left w:val="outset" w:sz="6" w:space="0" w:color="auto"/>
              <w:bottom w:val="outset" w:sz="6" w:space="0" w:color="auto"/>
              <w:right w:val="outset" w:sz="6" w:space="0" w:color="auto"/>
            </w:tcBorders>
            <w:hideMark/>
          </w:tcPr>
          <w:p w14:paraId="5A8720D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7.62%</w:t>
            </w:r>
          </w:p>
        </w:tc>
        <w:tc>
          <w:tcPr>
            <w:tcW w:w="750" w:type="dxa"/>
            <w:tcBorders>
              <w:top w:val="outset" w:sz="6" w:space="0" w:color="auto"/>
              <w:left w:val="outset" w:sz="6" w:space="0" w:color="auto"/>
              <w:bottom w:val="outset" w:sz="6" w:space="0" w:color="auto"/>
              <w:right w:val="outset" w:sz="6" w:space="0" w:color="auto"/>
            </w:tcBorders>
            <w:hideMark/>
          </w:tcPr>
          <w:p w14:paraId="0D04A936"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138.308.000</w:t>
            </w:r>
          </w:p>
        </w:tc>
        <w:tc>
          <w:tcPr>
            <w:tcW w:w="855" w:type="dxa"/>
            <w:tcBorders>
              <w:top w:val="outset" w:sz="6" w:space="0" w:color="auto"/>
              <w:left w:val="outset" w:sz="6" w:space="0" w:color="auto"/>
              <w:bottom w:val="outset" w:sz="6" w:space="0" w:color="auto"/>
              <w:right w:val="outset" w:sz="6" w:space="0" w:color="auto"/>
            </w:tcBorders>
            <w:hideMark/>
          </w:tcPr>
          <w:p w14:paraId="06DC37D0"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18.691.000</w:t>
            </w:r>
          </w:p>
        </w:tc>
        <w:tc>
          <w:tcPr>
            <w:tcW w:w="855" w:type="dxa"/>
            <w:tcBorders>
              <w:top w:val="outset" w:sz="6" w:space="0" w:color="auto"/>
              <w:left w:val="outset" w:sz="6" w:space="0" w:color="auto"/>
              <w:bottom w:val="outset" w:sz="6" w:space="0" w:color="auto"/>
              <w:right w:val="outset" w:sz="6" w:space="0" w:color="auto"/>
            </w:tcBorders>
            <w:hideMark/>
          </w:tcPr>
          <w:p w14:paraId="4955ED12"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13.51%</w:t>
            </w:r>
          </w:p>
        </w:tc>
      </w:tr>
      <w:tr w:rsidR="00E04E82" w:rsidRPr="00E04E82" w14:paraId="154D44AF" w14:textId="77777777" w:rsidTr="00E04E82">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158930F5"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252321</w:t>
            </w:r>
          </w:p>
        </w:tc>
        <w:tc>
          <w:tcPr>
            <w:tcW w:w="960" w:type="dxa"/>
            <w:tcBorders>
              <w:top w:val="outset" w:sz="6" w:space="0" w:color="auto"/>
              <w:left w:val="outset" w:sz="6" w:space="0" w:color="auto"/>
              <w:bottom w:val="outset" w:sz="6" w:space="0" w:color="auto"/>
              <w:right w:val="outset" w:sz="6" w:space="0" w:color="auto"/>
            </w:tcBorders>
            <w:hideMark/>
          </w:tcPr>
          <w:p w14:paraId="4B27E14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White portland cement</w:t>
            </w:r>
          </w:p>
        </w:tc>
        <w:tc>
          <w:tcPr>
            <w:tcW w:w="750" w:type="dxa"/>
            <w:tcBorders>
              <w:top w:val="outset" w:sz="6" w:space="0" w:color="auto"/>
              <w:left w:val="outset" w:sz="6" w:space="0" w:color="auto"/>
              <w:bottom w:val="outset" w:sz="6" w:space="0" w:color="auto"/>
              <w:right w:val="outset" w:sz="6" w:space="0" w:color="auto"/>
            </w:tcBorders>
            <w:hideMark/>
          </w:tcPr>
          <w:p w14:paraId="53FB1216"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6.881.000</w:t>
            </w:r>
          </w:p>
        </w:tc>
        <w:tc>
          <w:tcPr>
            <w:tcW w:w="750" w:type="dxa"/>
            <w:tcBorders>
              <w:top w:val="outset" w:sz="6" w:space="0" w:color="auto"/>
              <w:left w:val="outset" w:sz="6" w:space="0" w:color="auto"/>
              <w:bottom w:val="outset" w:sz="6" w:space="0" w:color="auto"/>
              <w:right w:val="outset" w:sz="6" w:space="0" w:color="auto"/>
            </w:tcBorders>
            <w:hideMark/>
          </w:tcPr>
          <w:p w14:paraId="61F1C6AF"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176.000</w:t>
            </w:r>
          </w:p>
        </w:tc>
        <w:tc>
          <w:tcPr>
            <w:tcW w:w="750" w:type="dxa"/>
            <w:tcBorders>
              <w:top w:val="outset" w:sz="6" w:space="0" w:color="auto"/>
              <w:left w:val="outset" w:sz="6" w:space="0" w:color="auto"/>
              <w:bottom w:val="outset" w:sz="6" w:space="0" w:color="auto"/>
              <w:right w:val="outset" w:sz="6" w:space="0" w:color="auto"/>
            </w:tcBorders>
            <w:hideMark/>
          </w:tcPr>
          <w:p w14:paraId="1360089C"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2.6%</w:t>
            </w:r>
          </w:p>
          <w:p w14:paraId="663704C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hideMark/>
          </w:tcPr>
          <w:p w14:paraId="67BEA09A"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8.182.000</w:t>
            </w:r>
          </w:p>
        </w:tc>
        <w:tc>
          <w:tcPr>
            <w:tcW w:w="750" w:type="dxa"/>
            <w:tcBorders>
              <w:top w:val="outset" w:sz="6" w:space="0" w:color="auto"/>
              <w:left w:val="outset" w:sz="6" w:space="0" w:color="auto"/>
              <w:bottom w:val="outset" w:sz="6" w:space="0" w:color="auto"/>
              <w:right w:val="outset" w:sz="6" w:space="0" w:color="auto"/>
            </w:tcBorders>
            <w:hideMark/>
          </w:tcPr>
          <w:p w14:paraId="17242624"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370.000</w:t>
            </w:r>
          </w:p>
        </w:tc>
        <w:tc>
          <w:tcPr>
            <w:tcW w:w="750" w:type="dxa"/>
            <w:tcBorders>
              <w:top w:val="outset" w:sz="6" w:space="0" w:color="auto"/>
              <w:left w:val="outset" w:sz="6" w:space="0" w:color="auto"/>
              <w:bottom w:val="outset" w:sz="6" w:space="0" w:color="auto"/>
              <w:right w:val="outset" w:sz="6" w:space="0" w:color="auto"/>
            </w:tcBorders>
            <w:hideMark/>
          </w:tcPr>
          <w:p w14:paraId="60D7DFA9"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4.52%</w:t>
            </w:r>
          </w:p>
        </w:tc>
        <w:tc>
          <w:tcPr>
            <w:tcW w:w="750" w:type="dxa"/>
            <w:tcBorders>
              <w:top w:val="outset" w:sz="6" w:space="0" w:color="auto"/>
              <w:left w:val="outset" w:sz="6" w:space="0" w:color="auto"/>
              <w:bottom w:val="outset" w:sz="6" w:space="0" w:color="auto"/>
              <w:right w:val="outset" w:sz="6" w:space="0" w:color="auto"/>
            </w:tcBorders>
            <w:hideMark/>
          </w:tcPr>
          <w:p w14:paraId="54AC332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12.236.000</w:t>
            </w:r>
          </w:p>
        </w:tc>
        <w:tc>
          <w:tcPr>
            <w:tcW w:w="855" w:type="dxa"/>
            <w:tcBorders>
              <w:top w:val="outset" w:sz="6" w:space="0" w:color="auto"/>
              <w:left w:val="outset" w:sz="6" w:space="0" w:color="auto"/>
              <w:bottom w:val="outset" w:sz="6" w:space="0" w:color="auto"/>
              <w:right w:val="outset" w:sz="6" w:space="0" w:color="auto"/>
            </w:tcBorders>
            <w:hideMark/>
          </w:tcPr>
          <w:p w14:paraId="6D335A6C"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1.333.000</w:t>
            </w:r>
          </w:p>
        </w:tc>
        <w:tc>
          <w:tcPr>
            <w:tcW w:w="855" w:type="dxa"/>
            <w:tcBorders>
              <w:top w:val="outset" w:sz="6" w:space="0" w:color="auto"/>
              <w:left w:val="outset" w:sz="6" w:space="0" w:color="auto"/>
              <w:bottom w:val="outset" w:sz="6" w:space="0" w:color="auto"/>
              <w:right w:val="outset" w:sz="6" w:space="0" w:color="auto"/>
            </w:tcBorders>
            <w:hideMark/>
          </w:tcPr>
          <w:p w14:paraId="6620D9B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10.89%</w:t>
            </w:r>
          </w:p>
        </w:tc>
      </w:tr>
      <w:tr w:rsidR="00E04E82" w:rsidRPr="00E04E82" w14:paraId="4C7D41CB" w14:textId="77777777" w:rsidTr="00E04E82">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5050A31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lastRenderedPageBreak/>
              <w:t>252329</w:t>
            </w:r>
          </w:p>
        </w:tc>
        <w:tc>
          <w:tcPr>
            <w:tcW w:w="960" w:type="dxa"/>
            <w:tcBorders>
              <w:top w:val="outset" w:sz="6" w:space="0" w:color="auto"/>
              <w:left w:val="outset" w:sz="6" w:space="0" w:color="auto"/>
              <w:bottom w:val="outset" w:sz="6" w:space="0" w:color="auto"/>
              <w:right w:val="outset" w:sz="6" w:space="0" w:color="auto"/>
            </w:tcBorders>
            <w:hideMark/>
          </w:tcPr>
          <w:p w14:paraId="408CDDE7"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Portland cement (excl. white cement)</w:t>
            </w:r>
          </w:p>
        </w:tc>
        <w:tc>
          <w:tcPr>
            <w:tcW w:w="750" w:type="dxa"/>
            <w:tcBorders>
              <w:top w:val="outset" w:sz="6" w:space="0" w:color="auto"/>
              <w:left w:val="outset" w:sz="6" w:space="0" w:color="auto"/>
              <w:bottom w:val="outset" w:sz="6" w:space="0" w:color="auto"/>
              <w:right w:val="outset" w:sz="6" w:space="0" w:color="auto"/>
            </w:tcBorders>
            <w:hideMark/>
          </w:tcPr>
          <w:p w14:paraId="7729C420"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34.691.000</w:t>
            </w:r>
          </w:p>
        </w:tc>
        <w:tc>
          <w:tcPr>
            <w:tcW w:w="750" w:type="dxa"/>
            <w:tcBorders>
              <w:top w:val="outset" w:sz="6" w:space="0" w:color="auto"/>
              <w:left w:val="outset" w:sz="6" w:space="0" w:color="auto"/>
              <w:bottom w:val="outset" w:sz="6" w:space="0" w:color="auto"/>
              <w:right w:val="outset" w:sz="6" w:space="0" w:color="auto"/>
            </w:tcBorders>
            <w:hideMark/>
          </w:tcPr>
          <w:p w14:paraId="1855FE55"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256.000</w:t>
            </w:r>
          </w:p>
        </w:tc>
        <w:tc>
          <w:tcPr>
            <w:tcW w:w="750" w:type="dxa"/>
            <w:tcBorders>
              <w:top w:val="outset" w:sz="6" w:space="0" w:color="auto"/>
              <w:left w:val="outset" w:sz="6" w:space="0" w:color="auto"/>
              <w:bottom w:val="outset" w:sz="6" w:space="0" w:color="auto"/>
              <w:right w:val="outset" w:sz="6" w:space="0" w:color="auto"/>
            </w:tcBorders>
            <w:hideMark/>
          </w:tcPr>
          <w:p w14:paraId="360ABC5A"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0.74%</w:t>
            </w:r>
          </w:p>
        </w:tc>
        <w:tc>
          <w:tcPr>
            <w:tcW w:w="750" w:type="dxa"/>
            <w:tcBorders>
              <w:top w:val="outset" w:sz="6" w:space="0" w:color="auto"/>
              <w:left w:val="outset" w:sz="6" w:space="0" w:color="auto"/>
              <w:bottom w:val="outset" w:sz="6" w:space="0" w:color="auto"/>
              <w:right w:val="outset" w:sz="6" w:space="0" w:color="auto"/>
            </w:tcBorders>
            <w:hideMark/>
          </w:tcPr>
          <w:p w14:paraId="54E88862"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22.790.000</w:t>
            </w:r>
          </w:p>
        </w:tc>
        <w:tc>
          <w:tcPr>
            <w:tcW w:w="750" w:type="dxa"/>
            <w:tcBorders>
              <w:top w:val="outset" w:sz="6" w:space="0" w:color="auto"/>
              <w:left w:val="outset" w:sz="6" w:space="0" w:color="auto"/>
              <w:bottom w:val="outset" w:sz="6" w:space="0" w:color="auto"/>
              <w:right w:val="outset" w:sz="6" w:space="0" w:color="auto"/>
            </w:tcBorders>
            <w:hideMark/>
          </w:tcPr>
          <w:p w14:paraId="77C5009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1.072.000</w:t>
            </w:r>
          </w:p>
        </w:tc>
        <w:tc>
          <w:tcPr>
            <w:tcW w:w="750" w:type="dxa"/>
            <w:tcBorders>
              <w:top w:val="outset" w:sz="6" w:space="0" w:color="auto"/>
              <w:left w:val="outset" w:sz="6" w:space="0" w:color="auto"/>
              <w:bottom w:val="outset" w:sz="6" w:space="0" w:color="auto"/>
              <w:right w:val="outset" w:sz="6" w:space="0" w:color="auto"/>
            </w:tcBorders>
            <w:hideMark/>
          </w:tcPr>
          <w:p w14:paraId="5BB3F399"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4.70%</w:t>
            </w:r>
          </w:p>
        </w:tc>
        <w:tc>
          <w:tcPr>
            <w:tcW w:w="750" w:type="dxa"/>
            <w:tcBorders>
              <w:top w:val="outset" w:sz="6" w:space="0" w:color="auto"/>
              <w:left w:val="outset" w:sz="6" w:space="0" w:color="auto"/>
              <w:bottom w:val="outset" w:sz="6" w:space="0" w:color="auto"/>
              <w:right w:val="outset" w:sz="6" w:space="0" w:color="auto"/>
            </w:tcBorders>
            <w:hideMark/>
          </w:tcPr>
          <w:p w14:paraId="2195198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23.142.000</w:t>
            </w:r>
          </w:p>
        </w:tc>
        <w:tc>
          <w:tcPr>
            <w:tcW w:w="855" w:type="dxa"/>
            <w:tcBorders>
              <w:top w:val="outset" w:sz="6" w:space="0" w:color="auto"/>
              <w:left w:val="outset" w:sz="6" w:space="0" w:color="auto"/>
              <w:bottom w:val="outset" w:sz="6" w:space="0" w:color="auto"/>
              <w:right w:val="outset" w:sz="6" w:space="0" w:color="auto"/>
            </w:tcBorders>
            <w:hideMark/>
          </w:tcPr>
          <w:p w14:paraId="700083C3"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2.328.000</w:t>
            </w:r>
          </w:p>
        </w:tc>
        <w:tc>
          <w:tcPr>
            <w:tcW w:w="855" w:type="dxa"/>
            <w:tcBorders>
              <w:top w:val="outset" w:sz="6" w:space="0" w:color="auto"/>
              <w:left w:val="outset" w:sz="6" w:space="0" w:color="auto"/>
              <w:bottom w:val="outset" w:sz="6" w:space="0" w:color="auto"/>
              <w:right w:val="outset" w:sz="6" w:space="0" w:color="auto"/>
            </w:tcBorders>
            <w:hideMark/>
          </w:tcPr>
          <w:p w14:paraId="5ECBD37D"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t>10.06%</w:t>
            </w:r>
          </w:p>
        </w:tc>
      </w:tr>
    </w:tbl>
    <w:p w14:paraId="7C51EB59"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i/>
          <w:iCs/>
          <w:color w:val="000000" w:themeColor="text1"/>
        </w:rPr>
        <w:t>Nguồn: Bộ Ngoại giao và Thương mại Úc</w:t>
      </w:r>
    </w:p>
    <w:p w14:paraId="6DBEB708" w14:textId="77777777" w:rsidR="00E04E82" w:rsidRPr="00E04E82" w:rsidRDefault="00E04E82" w:rsidP="00E04E82">
      <w:pPr>
        <w:jc w:val="both"/>
        <w:rPr>
          <w:rFonts w:ascii="Times New Roman" w:eastAsia="Times New Roman" w:hAnsi="Times New Roman" w:cs="Times New Roman"/>
          <w:color w:val="000000" w:themeColor="text1"/>
        </w:rPr>
      </w:pPr>
      <w:r w:rsidRPr="00E04E82">
        <w:rPr>
          <w:rFonts w:ascii="Times New Roman" w:eastAsia="Times New Roman" w:hAnsi="Times New Roman" w:cs="Times New Roman"/>
          <w:color w:val="000000" w:themeColor="text1"/>
        </w:rPr>
        <w:br w:type="textWrapping" w:clear="all"/>
        <w:t>  Theo thống kê của Bộ Ngoại giao và Thương mại Úc, nhu cầu nhập khẩu xi măng và clinker của Úc ngày càng tăng, năm 2012 Úc Nhập khẩu khoảng 113,57 triệu AUD, năm 2013 nhập khẩu gần 126,86 triệu AUD tăng 112% so với năm 2012. Năm 2014 Úc nhập khẩu hơn 173,69 triệu AUD tăng 137% so với năm 2013. Trong đó, kim ngạch nhập khẩu từ Việt Nam cũng tăng mạnh. Năm 2014 Úc nhập khẩu 22,35 triệu AUD tăng 255% so với năm 2013 và chiếm gần 13% thị phần nhập khẩu xi măng của Úc.</w:t>
      </w:r>
    </w:p>
    <w:p w14:paraId="488097EE" w14:textId="77777777" w:rsidR="00E04E82" w:rsidRPr="00E04E82" w:rsidRDefault="00E04E82" w:rsidP="00E04E82">
      <w:pPr>
        <w:jc w:val="both"/>
        <w:textAlignment w:val="center"/>
        <w:rPr>
          <w:rFonts w:ascii="Times New Roman" w:eastAsia="Times New Roman" w:hAnsi="Times New Roman" w:cs="Times New Roman"/>
          <w:b/>
          <w:bCs/>
          <w:color w:val="000000" w:themeColor="text1"/>
        </w:rPr>
      </w:pPr>
      <w:r w:rsidRPr="00E04E82">
        <w:rPr>
          <w:rFonts w:ascii="Times New Roman" w:eastAsia="Times New Roman" w:hAnsi="Times New Roman" w:cs="Times New Roman"/>
          <w:b/>
          <w:bCs/>
          <w:color w:val="000000" w:themeColor="text1"/>
        </w:rPr>
        <w:t>Thương vụ Việt Nam tại Australia</w:t>
      </w:r>
    </w:p>
    <w:p w14:paraId="07309C00" w14:textId="77777777" w:rsidR="00057664" w:rsidRPr="00E04E82" w:rsidRDefault="00057664" w:rsidP="00E04E82">
      <w:pPr>
        <w:jc w:val="both"/>
        <w:rPr>
          <w:rFonts w:ascii="Times New Roman" w:hAnsi="Times New Roman" w:cs="Times New Roman"/>
          <w:color w:val="000000" w:themeColor="text1"/>
        </w:rPr>
      </w:pPr>
    </w:p>
    <w:sectPr w:rsidR="00057664" w:rsidRPr="00E04E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E82"/>
    <w:rsid w:val="00057664"/>
    <w:rsid w:val="00E04E82"/>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3FB41"/>
  <w15:chartTrackingRefBased/>
  <w15:docId w15:val="{747689C8-21D7-9D4C-8E92-D2028DAFB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4E8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E8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E04E82"/>
    <w:rPr>
      <w:b/>
      <w:bCs/>
    </w:rPr>
  </w:style>
  <w:style w:type="paragraph" w:styleId="NormalWeb">
    <w:name w:val="Normal (Web)"/>
    <w:basedOn w:val="Normal"/>
    <w:uiPriority w:val="99"/>
    <w:semiHidden/>
    <w:unhideWhenUsed/>
    <w:rsid w:val="00E04E82"/>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E04E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431333">
      <w:bodyDiv w:val="1"/>
      <w:marLeft w:val="0"/>
      <w:marRight w:val="0"/>
      <w:marTop w:val="0"/>
      <w:marBottom w:val="0"/>
      <w:divBdr>
        <w:top w:val="none" w:sz="0" w:space="0" w:color="auto"/>
        <w:left w:val="none" w:sz="0" w:space="0" w:color="auto"/>
        <w:bottom w:val="none" w:sz="0" w:space="0" w:color="auto"/>
        <w:right w:val="none" w:sz="0" w:space="0" w:color="auto"/>
      </w:divBdr>
      <w:divsChild>
        <w:div w:id="1102267358">
          <w:marLeft w:val="0"/>
          <w:marRight w:val="0"/>
          <w:marTop w:val="0"/>
          <w:marBottom w:val="225"/>
          <w:divBdr>
            <w:top w:val="none" w:sz="0" w:space="0" w:color="auto"/>
            <w:left w:val="none" w:sz="0" w:space="0" w:color="auto"/>
            <w:bottom w:val="none" w:sz="0" w:space="0" w:color="auto"/>
            <w:right w:val="none" w:sz="0" w:space="0" w:color="auto"/>
          </w:divBdr>
        </w:div>
        <w:div w:id="778988859">
          <w:marLeft w:val="0"/>
          <w:marRight w:val="0"/>
          <w:marTop w:val="0"/>
          <w:marBottom w:val="150"/>
          <w:divBdr>
            <w:top w:val="none" w:sz="0" w:space="0" w:color="auto"/>
            <w:left w:val="none" w:sz="0" w:space="0" w:color="auto"/>
            <w:bottom w:val="none" w:sz="0" w:space="0" w:color="auto"/>
            <w:right w:val="none" w:sz="0" w:space="0" w:color="auto"/>
          </w:divBdr>
        </w:div>
        <w:div w:id="758208970">
          <w:marLeft w:val="0"/>
          <w:marRight w:val="0"/>
          <w:marTop w:val="0"/>
          <w:marBottom w:val="300"/>
          <w:divBdr>
            <w:top w:val="none" w:sz="0" w:space="0" w:color="auto"/>
            <w:left w:val="none" w:sz="0" w:space="0" w:color="auto"/>
            <w:bottom w:val="none" w:sz="0" w:space="0" w:color="auto"/>
            <w:right w:val="none" w:sz="0" w:space="0" w:color="auto"/>
          </w:divBdr>
        </w:div>
        <w:div w:id="488640539">
          <w:marLeft w:val="0"/>
          <w:marRight w:val="0"/>
          <w:marTop w:val="0"/>
          <w:marBottom w:val="750"/>
          <w:divBdr>
            <w:top w:val="none" w:sz="0" w:space="0" w:color="auto"/>
            <w:left w:val="none" w:sz="0" w:space="0" w:color="auto"/>
            <w:bottom w:val="none" w:sz="0" w:space="0" w:color="auto"/>
            <w:right w:val="none" w:sz="0" w:space="0" w:color="auto"/>
          </w:divBdr>
          <w:divsChild>
            <w:div w:id="92105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2688</Characters>
  <Application>Microsoft Office Word</Application>
  <DocSecurity>0</DocSecurity>
  <Lines>22</Lines>
  <Paragraphs>6</Paragraphs>
  <ScaleCrop>false</ScaleCrop>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2022-09-18T16:03:00Z</dcterms:created>
  <dcterms:modified xsi:type="dcterms:W3CDTF">2022-09-18T16:03:00Z</dcterms:modified>
</cp:coreProperties>
</file>