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F95" w:rsidRPr="00985F95" w:rsidRDefault="00985F95" w:rsidP="00985F95">
      <w:pPr>
        <w:spacing w:after="150" w:line="240" w:lineRule="auto"/>
        <w:rPr>
          <w:rFonts w:ascii="Arial" w:eastAsia="Times New Roman" w:hAnsi="Arial" w:cs="Arial"/>
          <w:b/>
          <w:bCs/>
          <w:color w:val="494949"/>
          <w:sz w:val="18"/>
          <w:szCs w:val="18"/>
        </w:rPr>
      </w:pPr>
      <w:r w:rsidRPr="00985F95">
        <w:rPr>
          <w:rFonts w:ascii="Arial" w:eastAsia="Times New Roman" w:hAnsi="Arial" w:cs="Arial"/>
          <w:b/>
          <w:bCs/>
          <w:color w:val="494949"/>
          <w:sz w:val="18"/>
          <w:szCs w:val="18"/>
        </w:rPr>
        <w:t>Từ giai đoạn 2010 - 2012, trao đổi thương mại giữa Việt Nam và Ai Cập đã có sự phát triển tương đối khả quan. Trong đó kim ngạch xuất khẩu của Việt Nam sang Ai Cập tăng trưởng khá đều còn kim ngạch xuất khẩu của Ai Cập còn ở mức thấp và tăng giảm thất thường. Tuy nhiên, tới năm 2013, do bất ổn chính trị tại Ai Cập dẫn tới khan nguồn ngoại tệ thanh toán, tổng kim ngạch trao đổi thương mại hai chiều giảm mạnh tới so với năm 2012.</w:t>
      </w:r>
    </w:p>
    <w:p w:rsidR="00985F95" w:rsidRPr="00985F95" w:rsidRDefault="00985F95" w:rsidP="00985F95">
      <w:pPr>
        <w:spacing w:after="0" w:line="240" w:lineRule="auto"/>
        <w:jc w:val="both"/>
        <w:rPr>
          <w:rFonts w:ascii="Arial" w:eastAsia="Times New Roman" w:hAnsi="Arial" w:cs="Arial"/>
          <w:color w:val="494949"/>
          <w:sz w:val="18"/>
          <w:szCs w:val="18"/>
        </w:rPr>
      </w:pPr>
      <w:r w:rsidRPr="00985F95">
        <w:rPr>
          <w:rFonts w:ascii="Arial" w:eastAsia="Times New Roman" w:hAnsi="Arial" w:cs="Arial"/>
          <w:color w:val="494949"/>
          <w:sz w:val="18"/>
          <w:szCs w:val="18"/>
        </w:rPr>
        <w:t>Năm 2014, sự khan hiếm ngoại tệ của doanh nghiệp đã phần nào được giải tỏa, các mặt hàng xuất khẩu chủ lực của Việt Nam sang Ai Cập vẫn giữ vững vị trí và lấy lại đà tăng trưởng.</w:t>
      </w:r>
    </w:p>
    <w:p w:rsidR="00985F95" w:rsidRPr="00985F95" w:rsidRDefault="00985F95" w:rsidP="00985F95">
      <w:pPr>
        <w:spacing w:after="0" w:line="240" w:lineRule="auto"/>
        <w:jc w:val="center"/>
        <w:rPr>
          <w:rFonts w:ascii="Arial" w:eastAsia="Times New Roman" w:hAnsi="Arial" w:cs="Arial"/>
          <w:color w:val="494949"/>
          <w:sz w:val="18"/>
          <w:szCs w:val="18"/>
        </w:rPr>
      </w:pPr>
      <w:r w:rsidRPr="00985F95">
        <w:rPr>
          <w:rFonts w:ascii="Arial" w:eastAsia="Times New Roman" w:hAnsi="Arial" w:cs="Arial"/>
          <w:color w:val="494949"/>
          <w:sz w:val="18"/>
          <w:szCs w:val="18"/>
        </w:rPr>
        <w:t>Kim ngạch xuất nhập khẩu Việt Nam – Ai Cập giai đoạn từ 2010 – 2014</w:t>
      </w:r>
    </w:p>
    <w:p w:rsidR="00985F95" w:rsidRPr="00985F95" w:rsidRDefault="00985F95" w:rsidP="00985F95">
      <w:pPr>
        <w:spacing w:line="240" w:lineRule="auto"/>
        <w:jc w:val="right"/>
        <w:rPr>
          <w:rFonts w:ascii="Arial" w:eastAsia="Times New Roman" w:hAnsi="Arial" w:cs="Arial"/>
          <w:color w:val="494949"/>
          <w:sz w:val="18"/>
          <w:szCs w:val="18"/>
        </w:rPr>
      </w:pPr>
      <w:r w:rsidRPr="00985F95">
        <w:rPr>
          <w:rFonts w:ascii="Arial" w:eastAsia="Times New Roman" w:hAnsi="Arial" w:cs="Arial"/>
          <w:i/>
          <w:iCs/>
          <w:color w:val="494949"/>
          <w:sz w:val="18"/>
          <w:szCs w:val="18"/>
        </w:rPr>
        <w:t>ĐVT: triệu USD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7"/>
        <w:gridCol w:w="1663"/>
        <w:gridCol w:w="1663"/>
        <w:gridCol w:w="1478"/>
        <w:gridCol w:w="2865"/>
      </w:tblGrid>
      <w:tr w:rsidR="00985F95" w:rsidRPr="00985F95" w:rsidTr="00985F95">
        <w:trPr>
          <w:tblCellSpacing w:w="0" w:type="dxa"/>
        </w:trPr>
        <w:tc>
          <w:tcPr>
            <w:tcW w:w="7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Năm</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Xuất khẩu</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Nhập khẩu</w:t>
            </w:r>
          </w:p>
        </w:tc>
        <w:tc>
          <w:tcPr>
            <w:tcW w:w="8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Tổng kim ngạch</w:t>
            </w:r>
          </w:p>
        </w:tc>
        <w:tc>
          <w:tcPr>
            <w:tcW w:w="15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 Tăng/Giảm so với cùng kỳ (tổng kim ngạch XNK)</w:t>
            </w:r>
          </w:p>
        </w:tc>
      </w:tr>
      <w:tr w:rsidR="00985F95" w:rsidRPr="00985F95" w:rsidTr="00985F95">
        <w:trPr>
          <w:tblCellSpacing w:w="0" w:type="dxa"/>
        </w:trPr>
        <w:tc>
          <w:tcPr>
            <w:tcW w:w="7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2010</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174,85</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12,23</w:t>
            </w:r>
          </w:p>
        </w:tc>
        <w:tc>
          <w:tcPr>
            <w:tcW w:w="8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187,08</w:t>
            </w:r>
          </w:p>
        </w:tc>
        <w:tc>
          <w:tcPr>
            <w:tcW w:w="1550" w:type="pct"/>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w:t>
            </w:r>
          </w:p>
        </w:tc>
      </w:tr>
      <w:tr w:rsidR="00985F95" w:rsidRPr="00985F95" w:rsidTr="00985F95">
        <w:trPr>
          <w:tblCellSpacing w:w="0" w:type="dxa"/>
        </w:trPr>
        <w:tc>
          <w:tcPr>
            <w:tcW w:w="7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2011</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256,09</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14,40</w:t>
            </w:r>
          </w:p>
        </w:tc>
        <w:tc>
          <w:tcPr>
            <w:tcW w:w="8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270,49</w:t>
            </w:r>
          </w:p>
        </w:tc>
        <w:tc>
          <w:tcPr>
            <w:tcW w:w="1550" w:type="pct"/>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+45%</w:t>
            </w:r>
          </w:p>
        </w:tc>
      </w:tr>
      <w:tr w:rsidR="00985F95" w:rsidRPr="00985F95" w:rsidTr="00985F95">
        <w:trPr>
          <w:tblCellSpacing w:w="0" w:type="dxa"/>
        </w:trPr>
        <w:tc>
          <w:tcPr>
            <w:tcW w:w="7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2012</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297,14</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7,55</w:t>
            </w:r>
          </w:p>
        </w:tc>
        <w:tc>
          <w:tcPr>
            <w:tcW w:w="8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304,69</w:t>
            </w:r>
          </w:p>
        </w:tc>
        <w:tc>
          <w:tcPr>
            <w:tcW w:w="1550" w:type="pct"/>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+13%</w:t>
            </w:r>
          </w:p>
        </w:tc>
      </w:tr>
      <w:tr w:rsidR="00985F95" w:rsidRPr="00985F95" w:rsidTr="00985F95">
        <w:trPr>
          <w:tblCellSpacing w:w="0" w:type="dxa"/>
        </w:trPr>
        <w:tc>
          <w:tcPr>
            <w:tcW w:w="7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2013</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221,61</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8,73</w:t>
            </w:r>
          </w:p>
        </w:tc>
        <w:tc>
          <w:tcPr>
            <w:tcW w:w="8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230,34</w:t>
            </w:r>
          </w:p>
        </w:tc>
        <w:tc>
          <w:tcPr>
            <w:tcW w:w="1550" w:type="pct"/>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-24%</w:t>
            </w:r>
          </w:p>
        </w:tc>
      </w:tr>
      <w:tr w:rsidR="00985F95" w:rsidRPr="00985F95" w:rsidTr="00985F95">
        <w:trPr>
          <w:tblCellSpacing w:w="0" w:type="dxa"/>
        </w:trPr>
        <w:tc>
          <w:tcPr>
            <w:tcW w:w="7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2014</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380,4</w:t>
            </w:r>
          </w:p>
        </w:tc>
        <w:tc>
          <w:tcPr>
            <w:tcW w:w="9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15,5</w:t>
            </w:r>
          </w:p>
        </w:tc>
        <w:tc>
          <w:tcPr>
            <w:tcW w:w="80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395,9</w:t>
            </w:r>
          </w:p>
        </w:tc>
        <w:tc>
          <w:tcPr>
            <w:tcW w:w="1550" w:type="pct"/>
            <w:tcBorders>
              <w:top w:val="outset" w:sz="6" w:space="0" w:color="auto"/>
              <w:left w:val="outset" w:sz="6" w:space="0" w:color="auto"/>
              <w:bottom w:val="outset" w:sz="6" w:space="0" w:color="auto"/>
              <w:right w:val="outset" w:sz="6" w:space="0" w:color="auto"/>
            </w:tcBorders>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+72%</w:t>
            </w:r>
          </w:p>
        </w:tc>
      </w:tr>
    </w:tbl>
    <w:p w:rsidR="00985F95" w:rsidRPr="00985F95" w:rsidRDefault="00985F95" w:rsidP="00985F95">
      <w:pPr>
        <w:spacing w:after="0" w:line="240" w:lineRule="auto"/>
        <w:jc w:val="right"/>
        <w:rPr>
          <w:rFonts w:ascii="Arial" w:eastAsia="Times New Roman" w:hAnsi="Arial" w:cs="Arial"/>
          <w:color w:val="494949"/>
          <w:sz w:val="18"/>
          <w:szCs w:val="18"/>
        </w:rPr>
      </w:pPr>
      <w:r w:rsidRPr="00985F95">
        <w:rPr>
          <w:rFonts w:ascii="Arial" w:eastAsia="Times New Roman" w:hAnsi="Arial" w:cs="Arial"/>
          <w:i/>
          <w:iCs/>
          <w:color w:val="494949"/>
          <w:sz w:val="18"/>
          <w:szCs w:val="18"/>
        </w:rPr>
        <w:t>Nguồn: Tổng cục Hải quan Việt Nam</w:t>
      </w:r>
    </w:p>
    <w:p w:rsidR="00985F95" w:rsidRPr="00985F95" w:rsidRDefault="00985F95" w:rsidP="00985F95">
      <w:pPr>
        <w:spacing w:after="0" w:line="240" w:lineRule="auto"/>
        <w:jc w:val="both"/>
        <w:rPr>
          <w:rFonts w:ascii="Arial" w:eastAsia="Times New Roman" w:hAnsi="Arial" w:cs="Arial"/>
          <w:color w:val="494949"/>
          <w:sz w:val="18"/>
          <w:szCs w:val="18"/>
        </w:rPr>
      </w:pPr>
      <w:r w:rsidRPr="00985F95">
        <w:rPr>
          <w:rFonts w:ascii="Arial" w:eastAsia="Times New Roman" w:hAnsi="Arial" w:cs="Arial"/>
          <w:color w:val="494949"/>
          <w:sz w:val="18"/>
          <w:szCs w:val="18"/>
        </w:rPr>
        <w:t>Về cơ cấu hàng hóa xuất khẩu, mặt hàng điện thoại các loại và linh kiện tăng trưởng mạnh, gần 14 lần so với năm 2013, đạt tới 95,6 triệu USD và trở thành mặt hàng có kim ngạch xuất khẩu lớn nhất sang Ai Cập. Ngoài ra, một số mặt hàng xuất khẩu chính khác cũng đều có kim ngạch tăng trưởng khả quan, như: hàng hải sản đạt trên 72 triệu USD, tăng 28,44%; mặt hàng sợi các loại đạt 45,3 triệu USD, tăng gần 50%; mặt hàng hạt tiêu đạt 33 triệu USD, tăng 227,8%; mặt hàng máy móc thiết bị dụng cụ và phụ tùng đạt 17,1 triệu USD, tăng xấp xỉ 20%...</w:t>
      </w:r>
    </w:p>
    <w:p w:rsidR="00985F95" w:rsidRPr="00985F95" w:rsidRDefault="00985F95" w:rsidP="00985F95">
      <w:pPr>
        <w:spacing w:after="0" w:line="240" w:lineRule="auto"/>
        <w:jc w:val="both"/>
        <w:rPr>
          <w:rFonts w:ascii="Arial" w:eastAsia="Times New Roman" w:hAnsi="Arial" w:cs="Arial"/>
          <w:color w:val="494949"/>
          <w:sz w:val="18"/>
          <w:szCs w:val="18"/>
        </w:rPr>
      </w:pPr>
      <w:r w:rsidRPr="00985F95">
        <w:rPr>
          <w:rFonts w:ascii="Arial" w:eastAsia="Times New Roman" w:hAnsi="Arial" w:cs="Arial"/>
          <w:color w:val="494949"/>
          <w:sz w:val="18"/>
          <w:szCs w:val="18"/>
        </w:rPr>
        <w:t>Trong số 12 mặt hàng có kim ngạch xuất khẩu lớn nhất của Việt Nam sang Ai Cập trong năm 2014, chỉ có 02 mặt hàng có kim ngạch giảm so với năm 2013. Cụ thể là cao su đạt 6,5 triệu USD, giảm 12,78%; hóa chất đạt 5,8 triệu USD, giảm 35%.</w:t>
      </w:r>
    </w:p>
    <w:p w:rsidR="00985F95" w:rsidRPr="00985F95" w:rsidRDefault="00985F95" w:rsidP="00985F95">
      <w:pPr>
        <w:spacing w:after="0" w:line="240" w:lineRule="auto"/>
        <w:jc w:val="center"/>
        <w:rPr>
          <w:rFonts w:ascii="Arial" w:eastAsia="Times New Roman" w:hAnsi="Arial" w:cs="Arial"/>
          <w:color w:val="494949"/>
          <w:sz w:val="18"/>
          <w:szCs w:val="18"/>
        </w:rPr>
      </w:pPr>
      <w:r w:rsidRPr="00985F95">
        <w:rPr>
          <w:rFonts w:ascii="Arial" w:eastAsia="Times New Roman" w:hAnsi="Arial" w:cs="Arial"/>
          <w:color w:val="494949"/>
          <w:sz w:val="18"/>
          <w:szCs w:val="18"/>
        </w:rPr>
        <w:t>Kim ngạch mặt hàng xuất khẩu của Việt Nam sang Ai Cập năm 2014</w:t>
      </w:r>
    </w:p>
    <w:p w:rsidR="00985F95" w:rsidRPr="00985F95" w:rsidRDefault="00985F95" w:rsidP="00985F95">
      <w:pPr>
        <w:spacing w:line="240" w:lineRule="auto"/>
        <w:jc w:val="right"/>
        <w:rPr>
          <w:rFonts w:ascii="Arial" w:eastAsia="Times New Roman" w:hAnsi="Arial" w:cs="Arial"/>
          <w:color w:val="494949"/>
          <w:sz w:val="18"/>
          <w:szCs w:val="18"/>
        </w:rPr>
      </w:pPr>
      <w:r w:rsidRPr="00985F95">
        <w:rPr>
          <w:rFonts w:ascii="Arial" w:eastAsia="Times New Roman" w:hAnsi="Arial" w:cs="Arial"/>
          <w:color w:val="494949"/>
          <w:sz w:val="18"/>
          <w:szCs w:val="18"/>
        </w:rPr>
        <w:t> ĐVT: USD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55"/>
        <w:gridCol w:w="1677"/>
        <w:gridCol w:w="1605"/>
        <w:gridCol w:w="2119"/>
      </w:tblGrid>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Tên mặt hàng</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2014</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2013</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Tăng/Giảm (%)</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Điện thoại di động và linh kiện</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95.615.940</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6.907.201</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1284,29</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Hàng hải sản</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72.088.574</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56.128.088</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28,44</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Sợi các loại</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45.253.343</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30.200.571</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49,84</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Hạt tiêu</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32.958.744</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25.788.677</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27,80</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Máy móc thiết bị dụng cụ và phụ tùng</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17.093.363</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14.306.273</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19,48</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Linh kiện ô tô CKD, SKD dưới 12 chỗ</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16.915.904</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14.570.147</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16,10</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Hàng rau quả</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14.874.839</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6.129.883</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142,66</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Cà phê</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9.193.859</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5.415.445</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69,77</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Hạt điều</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8.507.147</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6.825.571</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24,64</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Cao su</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6.545.845</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7.504.869</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-12,78</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Hóa chất</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5.798.385</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8.922.046</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-35,01</w:t>
            </w:r>
          </w:p>
        </w:tc>
      </w:tr>
      <w:tr w:rsidR="00985F95" w:rsidRPr="00985F95" w:rsidTr="00985F95">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Tổng kim ngạch xuất khẩu</w:t>
            </w:r>
          </w:p>
        </w:tc>
        <w:tc>
          <w:tcPr>
            <w:tcW w:w="169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380.366.359</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221.616.509</w:t>
            </w:r>
          </w:p>
        </w:tc>
        <w:tc>
          <w:tcPr>
            <w:tcW w:w="216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+71,7</w:t>
            </w:r>
          </w:p>
        </w:tc>
      </w:tr>
    </w:tbl>
    <w:p w:rsidR="00985F95" w:rsidRPr="00985F95" w:rsidRDefault="00985F95" w:rsidP="00985F95">
      <w:pPr>
        <w:spacing w:after="0" w:line="240" w:lineRule="auto"/>
        <w:jc w:val="both"/>
        <w:rPr>
          <w:rFonts w:ascii="Arial" w:eastAsia="Times New Roman" w:hAnsi="Arial" w:cs="Arial"/>
          <w:color w:val="494949"/>
          <w:sz w:val="18"/>
          <w:szCs w:val="18"/>
        </w:rPr>
      </w:pPr>
      <w:r w:rsidRPr="00985F95">
        <w:rPr>
          <w:rFonts w:ascii="Arial" w:eastAsia="Times New Roman" w:hAnsi="Arial" w:cs="Arial"/>
          <w:i/>
          <w:iCs/>
          <w:color w:val="494949"/>
          <w:sz w:val="18"/>
          <w:szCs w:val="18"/>
        </w:rPr>
        <w:t>Nguồn: Tổng cục Hải quan Việt Nam</w:t>
      </w:r>
    </w:p>
    <w:p w:rsidR="00985F95" w:rsidRPr="00985F95" w:rsidRDefault="00985F95" w:rsidP="00985F95">
      <w:pPr>
        <w:spacing w:after="0" w:line="240" w:lineRule="auto"/>
        <w:jc w:val="both"/>
        <w:rPr>
          <w:rFonts w:ascii="Arial" w:eastAsia="Times New Roman" w:hAnsi="Arial" w:cs="Arial"/>
          <w:color w:val="494949"/>
          <w:sz w:val="18"/>
          <w:szCs w:val="18"/>
        </w:rPr>
      </w:pPr>
      <w:r w:rsidRPr="00985F95">
        <w:rPr>
          <w:rFonts w:ascii="Arial" w:eastAsia="Times New Roman" w:hAnsi="Arial" w:cs="Arial"/>
          <w:color w:val="494949"/>
          <w:sz w:val="18"/>
          <w:szCs w:val="18"/>
        </w:rPr>
        <w:t>Một trong những nguyên nhân khiến kim ngạch nhập khẩu của Việt Nam từ Ai Cập tăng mạnh trong năm 2014 là do sự xuất hiện của một số mặt hàng mới, bao gồm mặt hàng đường, mật các loại, đạt 2,2 triệu USD; mặt hàng chất dẻo nguyên liệu đạt 1,7 triệu USD; mặt hàng máy vi tính, sản phẩm điện tử và linh kiện đạt 1,5 triệu USD. Bên cạnh đó, một số mặt hàng nhập khẩu truyền thống cũng có kim ngạch tăng trưởng khả quan như tân dược đạt 1,1 triệu USD, tăng gần 90%; sợi các loại đạt 0,8 triệu USD, tăng 46,6%...</w:t>
      </w:r>
    </w:p>
    <w:p w:rsidR="00985F95" w:rsidRPr="00985F95" w:rsidRDefault="00985F95" w:rsidP="00985F95">
      <w:pPr>
        <w:spacing w:after="0" w:line="240" w:lineRule="auto"/>
        <w:jc w:val="both"/>
        <w:rPr>
          <w:rFonts w:ascii="Arial" w:eastAsia="Times New Roman" w:hAnsi="Arial" w:cs="Arial"/>
          <w:color w:val="494949"/>
          <w:sz w:val="18"/>
          <w:szCs w:val="18"/>
        </w:rPr>
      </w:pPr>
      <w:r w:rsidRPr="00985F95">
        <w:rPr>
          <w:rFonts w:ascii="Arial" w:eastAsia="Times New Roman" w:hAnsi="Arial" w:cs="Arial"/>
          <w:color w:val="494949"/>
          <w:sz w:val="18"/>
          <w:szCs w:val="18"/>
        </w:rPr>
        <w:t>Trong khi đó, một số mặt hàng nhập khẩu từ thị trường này giảm sút như nguyên phụ liệu dệt may, da giày chỉ đạt 2,2 triệu USD, giảm 12,2% so với năm 2013; sữa và sản phẩm từ sữa đạt 0,7 triệu USD, giảm 0,8%...</w:t>
      </w:r>
    </w:p>
    <w:p w:rsidR="00985F95" w:rsidRPr="00985F95" w:rsidRDefault="00985F95" w:rsidP="00985F95">
      <w:pPr>
        <w:spacing w:after="0" w:line="240" w:lineRule="auto"/>
        <w:jc w:val="center"/>
        <w:rPr>
          <w:rFonts w:ascii="Arial" w:eastAsia="Times New Roman" w:hAnsi="Arial" w:cs="Arial"/>
          <w:color w:val="494949"/>
          <w:sz w:val="18"/>
          <w:szCs w:val="18"/>
        </w:rPr>
      </w:pPr>
      <w:r w:rsidRPr="00985F95">
        <w:rPr>
          <w:rFonts w:ascii="Arial" w:eastAsia="Times New Roman" w:hAnsi="Arial" w:cs="Arial"/>
          <w:color w:val="494949"/>
          <w:sz w:val="18"/>
          <w:szCs w:val="18"/>
        </w:rPr>
        <w:t>Mặt hàng nhập khẩu của Việt Nam từ thị trường Ai Cập</w:t>
      </w:r>
    </w:p>
    <w:p w:rsidR="00985F95" w:rsidRPr="00985F95" w:rsidRDefault="00985F95" w:rsidP="00985F95">
      <w:pPr>
        <w:spacing w:line="240" w:lineRule="auto"/>
        <w:jc w:val="right"/>
        <w:rPr>
          <w:rFonts w:ascii="Arial" w:eastAsia="Times New Roman" w:hAnsi="Arial" w:cs="Arial"/>
          <w:color w:val="494949"/>
          <w:sz w:val="18"/>
          <w:szCs w:val="18"/>
        </w:rPr>
      </w:pPr>
      <w:r w:rsidRPr="00985F95">
        <w:rPr>
          <w:rFonts w:ascii="Arial" w:eastAsia="Times New Roman" w:hAnsi="Arial" w:cs="Arial"/>
          <w:color w:val="494949"/>
          <w:sz w:val="18"/>
          <w:szCs w:val="18"/>
        </w:rPr>
        <w:t>Đơn vị: USD</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94"/>
        <w:gridCol w:w="1601"/>
        <w:gridCol w:w="1726"/>
        <w:gridCol w:w="2135"/>
      </w:tblGrid>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Tên mặt hàng</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2014</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2013</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Tăng/Giảm (%)</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Hàng hóa khác</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2,808,889</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1,485,678</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89.06</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Nguyên phụ liệu dệt may da giày</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2,168,500</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2,469,756</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-12.20</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lastRenderedPageBreak/>
              <w:t>Đường, mật các loại</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2,155,000</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Chất dẻo nguyên liệu</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1,677,271</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Máy vi tính, sản phẩm điện từ và linh kiện</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1,528,962</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Tân dược</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1,098,030</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579,038</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89.63</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Sợi các loại</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749,957</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511,520</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46.61</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Sữa và sản phẩm sữa</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714,946</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720,555</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-0.78</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Hàng rau quả</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590,426</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475,646</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24.13</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bottom"/>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Quặng và khoáng sản khác</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524,421</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890,599</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sz w:val="24"/>
                <w:szCs w:val="24"/>
              </w:rPr>
              <w:t>-41.12</w:t>
            </w:r>
          </w:p>
        </w:tc>
      </w:tr>
      <w:tr w:rsidR="00985F95" w:rsidRPr="00985F95" w:rsidTr="00985F95">
        <w:trPr>
          <w:tblCellSpacing w:w="0" w:type="dxa"/>
          <w:jc w:val="center"/>
        </w:trPr>
        <w:tc>
          <w:tcPr>
            <w:tcW w:w="370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rPr>
                <w:rFonts w:eastAsia="Times New Roman" w:cs="Times New Roman"/>
                <w:sz w:val="24"/>
                <w:szCs w:val="24"/>
              </w:rPr>
            </w:pPr>
            <w:r w:rsidRPr="00985F95">
              <w:rPr>
                <w:rFonts w:eastAsia="Times New Roman" w:cs="Times New Roman"/>
                <w:sz w:val="24"/>
                <w:szCs w:val="24"/>
              </w:rPr>
              <w:t>Tổng kim ngạch nhập khẩu</w:t>
            </w:r>
          </w:p>
        </w:tc>
        <w:tc>
          <w:tcPr>
            <w:tcW w:w="1620"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15,480,704</w:t>
            </w:r>
          </w:p>
        </w:tc>
        <w:tc>
          <w:tcPr>
            <w:tcW w:w="175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8,737,962</w:t>
            </w:r>
          </w:p>
        </w:tc>
        <w:tc>
          <w:tcPr>
            <w:tcW w:w="2175" w:type="dxa"/>
            <w:tcBorders>
              <w:top w:val="outset" w:sz="6" w:space="0" w:color="auto"/>
              <w:left w:val="outset" w:sz="6" w:space="0" w:color="auto"/>
              <w:bottom w:val="outset" w:sz="6" w:space="0" w:color="auto"/>
              <w:right w:val="outset" w:sz="6" w:space="0" w:color="auto"/>
            </w:tcBorders>
            <w:vAlign w:val="center"/>
            <w:hideMark/>
          </w:tcPr>
          <w:p w:rsidR="00985F95" w:rsidRPr="00985F95" w:rsidRDefault="00985F95" w:rsidP="00985F95">
            <w:pPr>
              <w:spacing w:after="0" w:line="240" w:lineRule="auto"/>
              <w:jc w:val="center"/>
              <w:rPr>
                <w:rFonts w:eastAsia="Times New Roman" w:cs="Times New Roman"/>
                <w:sz w:val="24"/>
                <w:szCs w:val="24"/>
              </w:rPr>
            </w:pPr>
            <w:r w:rsidRPr="00985F95">
              <w:rPr>
                <w:rFonts w:eastAsia="Times New Roman" w:cs="Times New Roman"/>
                <w:i/>
                <w:iCs/>
                <w:sz w:val="24"/>
                <w:szCs w:val="24"/>
              </w:rPr>
              <w:t>+ 78,2</w:t>
            </w:r>
          </w:p>
        </w:tc>
      </w:tr>
    </w:tbl>
    <w:p w:rsidR="00985F95" w:rsidRPr="00985F95" w:rsidRDefault="00985F95" w:rsidP="00985F95">
      <w:pPr>
        <w:spacing w:after="0" w:line="240" w:lineRule="auto"/>
        <w:jc w:val="right"/>
        <w:rPr>
          <w:rFonts w:ascii="Arial" w:eastAsia="Times New Roman" w:hAnsi="Arial" w:cs="Arial"/>
          <w:color w:val="494949"/>
          <w:sz w:val="18"/>
          <w:szCs w:val="18"/>
        </w:rPr>
      </w:pPr>
      <w:r w:rsidRPr="00985F95">
        <w:rPr>
          <w:rFonts w:ascii="Arial" w:eastAsia="Times New Roman" w:hAnsi="Arial" w:cs="Arial"/>
          <w:i/>
          <w:iCs/>
          <w:color w:val="494949"/>
          <w:sz w:val="18"/>
          <w:szCs w:val="18"/>
        </w:rPr>
        <w:t>Nguồn: Tổng cục Hải quan Việt Nam</w:t>
      </w:r>
    </w:p>
    <w:p w:rsidR="00985F95" w:rsidRPr="00985F95" w:rsidRDefault="00985F95" w:rsidP="00985F95">
      <w:pPr>
        <w:spacing w:after="0" w:line="240" w:lineRule="auto"/>
        <w:rPr>
          <w:rFonts w:ascii="Arial" w:eastAsia="Times New Roman" w:hAnsi="Arial" w:cs="Arial"/>
          <w:color w:val="494949"/>
          <w:sz w:val="18"/>
          <w:szCs w:val="18"/>
        </w:rPr>
      </w:pPr>
      <w:r w:rsidRPr="00985F95">
        <w:rPr>
          <w:rFonts w:ascii="Arial" w:eastAsia="Times New Roman" w:hAnsi="Arial" w:cs="Arial"/>
          <w:color w:val="494949"/>
          <w:sz w:val="18"/>
          <w:szCs w:val="18"/>
        </w:rPr>
        <w:t> </w:t>
      </w:r>
    </w:p>
    <w:p w:rsidR="00985F95" w:rsidRPr="00985F95" w:rsidRDefault="00985F95" w:rsidP="00985F95">
      <w:pPr>
        <w:spacing w:after="0" w:line="240" w:lineRule="auto"/>
        <w:rPr>
          <w:rFonts w:ascii="Arial" w:eastAsia="Times New Roman" w:hAnsi="Arial" w:cs="Arial"/>
          <w:color w:val="494949"/>
          <w:sz w:val="18"/>
          <w:szCs w:val="18"/>
        </w:rPr>
      </w:pPr>
      <w:r w:rsidRPr="00985F95">
        <w:rPr>
          <w:rFonts w:ascii="Arial" w:eastAsia="Times New Roman" w:hAnsi="Arial" w:cs="Arial"/>
          <w:color w:val="494949"/>
          <w:sz w:val="18"/>
          <w:szCs w:val="18"/>
        </w:rPr>
        <w:t>Cùng với việc đắc cử Tổng thống của ông Sisi vào ngày 3/6/2014 với tỉ lệ phiếu áp đảo 96%, tình hình chính trị của Ai Cập được kì vọng sẽ dần ổn định trở lại, nền kinh tế sẽ bước vào giai đoạn tái thiết sau xung đột. Với những dấu hiệu phục hồi khả quan trong 3 tháng đầu năm 2015, kim ngạch trao đổi thương mại Việt Nam – Ai Cập có thể sẽ đạt mức tăng trưởng cao trong năm nay.    </w:t>
      </w:r>
    </w:p>
    <w:p w:rsidR="00985F95" w:rsidRPr="00985F95" w:rsidRDefault="00985F95" w:rsidP="00985F95">
      <w:pPr>
        <w:spacing w:line="240" w:lineRule="auto"/>
        <w:jc w:val="right"/>
        <w:rPr>
          <w:rFonts w:ascii="Arial" w:eastAsia="Times New Roman" w:hAnsi="Arial" w:cs="Arial"/>
          <w:color w:val="494949"/>
          <w:sz w:val="18"/>
          <w:szCs w:val="18"/>
        </w:rPr>
      </w:pPr>
      <w:r w:rsidRPr="00985F95">
        <w:rPr>
          <w:rFonts w:ascii="Arial" w:eastAsia="Times New Roman" w:hAnsi="Arial" w:cs="Arial"/>
          <w:i/>
          <w:iCs/>
          <w:color w:val="494949"/>
          <w:sz w:val="18"/>
          <w:szCs w:val="18"/>
        </w:rPr>
        <w:t>Lê Phương</w:t>
      </w:r>
    </w:p>
    <w:p w:rsidR="0053352C" w:rsidRPr="00985F95" w:rsidRDefault="0053352C" w:rsidP="00985F95">
      <w:bookmarkStart w:id="0" w:name="_GoBack"/>
      <w:bookmarkEnd w:id="0"/>
    </w:p>
    <w:sectPr w:rsidR="0053352C" w:rsidRPr="00985F9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72"/>
    <w:rsid w:val="001C4084"/>
    <w:rsid w:val="0031182A"/>
    <w:rsid w:val="003740F2"/>
    <w:rsid w:val="0053352C"/>
    <w:rsid w:val="00985F95"/>
    <w:rsid w:val="00C06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195F6-F28C-40A7-8D59-4F7AF21B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B7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C4084"/>
    <w:rPr>
      <w:b/>
      <w:bCs/>
    </w:rPr>
  </w:style>
  <w:style w:type="character" w:styleId="Hyperlink">
    <w:name w:val="Hyperlink"/>
    <w:basedOn w:val="DefaultParagraphFont"/>
    <w:uiPriority w:val="99"/>
    <w:semiHidden/>
    <w:unhideWhenUsed/>
    <w:rsid w:val="001C4084"/>
    <w:rPr>
      <w:color w:val="0000FF"/>
      <w:u w:val="single"/>
    </w:rPr>
  </w:style>
  <w:style w:type="character" w:styleId="Emphasis">
    <w:name w:val="Emphasis"/>
    <w:basedOn w:val="DefaultParagraphFont"/>
    <w:uiPriority w:val="20"/>
    <w:qFormat/>
    <w:rsid w:val="003118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3361">
      <w:bodyDiv w:val="1"/>
      <w:marLeft w:val="0"/>
      <w:marRight w:val="0"/>
      <w:marTop w:val="0"/>
      <w:marBottom w:val="0"/>
      <w:divBdr>
        <w:top w:val="none" w:sz="0" w:space="0" w:color="auto"/>
        <w:left w:val="none" w:sz="0" w:space="0" w:color="auto"/>
        <w:bottom w:val="none" w:sz="0" w:space="0" w:color="auto"/>
        <w:right w:val="none" w:sz="0" w:space="0" w:color="auto"/>
      </w:divBdr>
      <w:divsChild>
        <w:div w:id="72170720">
          <w:marLeft w:val="0"/>
          <w:marRight w:val="0"/>
          <w:marTop w:val="0"/>
          <w:marBottom w:val="150"/>
          <w:divBdr>
            <w:top w:val="none" w:sz="0" w:space="0" w:color="auto"/>
            <w:left w:val="none" w:sz="0" w:space="0" w:color="auto"/>
            <w:bottom w:val="none" w:sz="0" w:space="0" w:color="auto"/>
            <w:right w:val="none" w:sz="0" w:space="0" w:color="auto"/>
          </w:divBdr>
        </w:div>
        <w:div w:id="2097704798">
          <w:marLeft w:val="0"/>
          <w:marRight w:val="0"/>
          <w:marTop w:val="0"/>
          <w:marBottom w:val="300"/>
          <w:divBdr>
            <w:top w:val="none" w:sz="0" w:space="0" w:color="auto"/>
            <w:left w:val="none" w:sz="0" w:space="0" w:color="auto"/>
            <w:bottom w:val="none" w:sz="0" w:space="0" w:color="auto"/>
            <w:right w:val="none" w:sz="0" w:space="0" w:color="auto"/>
          </w:divBdr>
        </w:div>
      </w:divsChild>
    </w:div>
    <w:div w:id="274141572">
      <w:bodyDiv w:val="1"/>
      <w:marLeft w:val="0"/>
      <w:marRight w:val="0"/>
      <w:marTop w:val="0"/>
      <w:marBottom w:val="0"/>
      <w:divBdr>
        <w:top w:val="none" w:sz="0" w:space="0" w:color="auto"/>
        <w:left w:val="none" w:sz="0" w:space="0" w:color="auto"/>
        <w:bottom w:val="none" w:sz="0" w:space="0" w:color="auto"/>
        <w:right w:val="none" w:sz="0" w:space="0" w:color="auto"/>
      </w:divBdr>
      <w:divsChild>
        <w:div w:id="506674072">
          <w:marLeft w:val="0"/>
          <w:marRight w:val="0"/>
          <w:marTop w:val="0"/>
          <w:marBottom w:val="150"/>
          <w:divBdr>
            <w:top w:val="none" w:sz="0" w:space="0" w:color="auto"/>
            <w:left w:val="none" w:sz="0" w:space="0" w:color="auto"/>
            <w:bottom w:val="none" w:sz="0" w:space="0" w:color="auto"/>
            <w:right w:val="none" w:sz="0" w:space="0" w:color="auto"/>
          </w:divBdr>
        </w:div>
        <w:div w:id="1399210509">
          <w:marLeft w:val="0"/>
          <w:marRight w:val="0"/>
          <w:marTop w:val="0"/>
          <w:marBottom w:val="300"/>
          <w:divBdr>
            <w:top w:val="none" w:sz="0" w:space="0" w:color="auto"/>
            <w:left w:val="none" w:sz="0" w:space="0" w:color="auto"/>
            <w:bottom w:val="none" w:sz="0" w:space="0" w:color="auto"/>
            <w:right w:val="none" w:sz="0" w:space="0" w:color="auto"/>
          </w:divBdr>
        </w:div>
      </w:divsChild>
    </w:div>
    <w:div w:id="299924110">
      <w:bodyDiv w:val="1"/>
      <w:marLeft w:val="0"/>
      <w:marRight w:val="0"/>
      <w:marTop w:val="0"/>
      <w:marBottom w:val="0"/>
      <w:divBdr>
        <w:top w:val="none" w:sz="0" w:space="0" w:color="auto"/>
        <w:left w:val="none" w:sz="0" w:space="0" w:color="auto"/>
        <w:bottom w:val="none" w:sz="0" w:space="0" w:color="auto"/>
        <w:right w:val="none" w:sz="0" w:space="0" w:color="auto"/>
      </w:divBdr>
      <w:divsChild>
        <w:div w:id="2048140962">
          <w:marLeft w:val="0"/>
          <w:marRight w:val="0"/>
          <w:marTop w:val="0"/>
          <w:marBottom w:val="150"/>
          <w:divBdr>
            <w:top w:val="none" w:sz="0" w:space="0" w:color="auto"/>
            <w:left w:val="none" w:sz="0" w:space="0" w:color="auto"/>
            <w:bottom w:val="none" w:sz="0" w:space="0" w:color="auto"/>
            <w:right w:val="none" w:sz="0" w:space="0" w:color="auto"/>
          </w:divBdr>
        </w:div>
        <w:div w:id="332992146">
          <w:marLeft w:val="0"/>
          <w:marRight w:val="0"/>
          <w:marTop w:val="0"/>
          <w:marBottom w:val="300"/>
          <w:divBdr>
            <w:top w:val="none" w:sz="0" w:space="0" w:color="auto"/>
            <w:left w:val="none" w:sz="0" w:space="0" w:color="auto"/>
            <w:bottom w:val="none" w:sz="0" w:space="0" w:color="auto"/>
            <w:right w:val="none" w:sz="0" w:space="0" w:color="auto"/>
          </w:divBdr>
        </w:div>
      </w:divsChild>
    </w:div>
    <w:div w:id="1113982289">
      <w:bodyDiv w:val="1"/>
      <w:marLeft w:val="0"/>
      <w:marRight w:val="0"/>
      <w:marTop w:val="0"/>
      <w:marBottom w:val="0"/>
      <w:divBdr>
        <w:top w:val="none" w:sz="0" w:space="0" w:color="auto"/>
        <w:left w:val="none" w:sz="0" w:space="0" w:color="auto"/>
        <w:bottom w:val="none" w:sz="0" w:space="0" w:color="auto"/>
        <w:right w:val="none" w:sz="0" w:space="0" w:color="auto"/>
      </w:divBdr>
      <w:divsChild>
        <w:div w:id="1119954685">
          <w:marLeft w:val="0"/>
          <w:marRight w:val="0"/>
          <w:marTop w:val="0"/>
          <w:marBottom w:val="150"/>
          <w:divBdr>
            <w:top w:val="none" w:sz="0" w:space="0" w:color="auto"/>
            <w:left w:val="none" w:sz="0" w:space="0" w:color="auto"/>
            <w:bottom w:val="none" w:sz="0" w:space="0" w:color="auto"/>
            <w:right w:val="none" w:sz="0" w:space="0" w:color="auto"/>
          </w:divBdr>
        </w:div>
        <w:div w:id="88395025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2022-09-05T08:13:00Z</dcterms:created>
  <dcterms:modified xsi:type="dcterms:W3CDTF">2022-09-05T08:13:00Z</dcterms:modified>
</cp:coreProperties>
</file>