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A56" w:rsidRPr="00475A56" w:rsidRDefault="00475A56" w:rsidP="00475A56">
      <w:pPr>
        <w:spacing w:after="150" w:line="240" w:lineRule="auto"/>
        <w:rPr>
          <w:rFonts w:ascii="Arial" w:eastAsia="Times New Roman" w:hAnsi="Arial" w:cs="Arial"/>
          <w:b/>
          <w:bCs/>
          <w:color w:val="494949"/>
          <w:sz w:val="18"/>
          <w:szCs w:val="18"/>
        </w:rPr>
      </w:pPr>
      <w:r w:rsidRPr="00475A56">
        <w:rPr>
          <w:rFonts w:ascii="Arial" w:eastAsia="Times New Roman" w:hAnsi="Arial" w:cs="Arial"/>
          <w:b/>
          <w:bCs/>
          <w:color w:val="494949"/>
          <w:sz w:val="18"/>
          <w:szCs w:val="18"/>
        </w:rPr>
        <w:t>Vụ Châu Phi, Tây Á, Nam Á xin giới thiệu một số thông tin về thị trường Cote d’Ivoire và quan hệ kinh tế thương mại Việt Nam - Cote d’Ivoire.</w:t>
      </w:r>
    </w:p>
    <w:p w:rsidR="00475A56" w:rsidRPr="00475A56" w:rsidRDefault="00475A56" w:rsidP="00475A56">
      <w:pPr>
        <w:spacing w:after="0" w:line="216" w:lineRule="atLeast"/>
        <w:jc w:val="both"/>
        <w:rPr>
          <w:rFonts w:ascii="Arial" w:eastAsia="Times New Roman" w:hAnsi="Arial" w:cs="Arial"/>
          <w:color w:val="494949"/>
          <w:sz w:val="18"/>
          <w:szCs w:val="18"/>
        </w:rPr>
      </w:pPr>
      <w:r w:rsidRPr="00475A56">
        <w:rPr>
          <w:rFonts w:ascii="Arial" w:eastAsia="Times New Roman" w:hAnsi="Arial" w:cs="Arial"/>
          <w:b/>
          <w:bCs/>
          <w:color w:val="494949"/>
          <w:sz w:val="18"/>
          <w:szCs w:val="18"/>
        </w:rPr>
        <w:t>1. Tổng quan kinh tế Côte d’Ivoire</w:t>
      </w:r>
    </w:p>
    <w:p w:rsidR="00475A56" w:rsidRPr="00475A56" w:rsidRDefault="00475A56" w:rsidP="00475A56">
      <w:pPr>
        <w:spacing w:after="0" w:line="216" w:lineRule="atLeast"/>
        <w:ind w:firstLine="720"/>
        <w:jc w:val="both"/>
        <w:rPr>
          <w:rFonts w:ascii="Arial" w:eastAsia="Times New Roman" w:hAnsi="Arial" w:cs="Arial"/>
          <w:color w:val="494949"/>
          <w:sz w:val="18"/>
          <w:szCs w:val="18"/>
        </w:rPr>
      </w:pPr>
      <w:r w:rsidRPr="00475A56">
        <w:rPr>
          <w:rFonts w:ascii="Arial" w:eastAsia="Times New Roman" w:hAnsi="Arial" w:cs="Arial"/>
          <w:color w:val="494949"/>
          <w:sz w:val="18"/>
          <w:szCs w:val="18"/>
        </w:rPr>
        <w:t>Năm 2007, tổng sản phẩm quốc nội của Cote d'Ivoire đạt 19,54 tỷ USD. Như vậy, GDP bình quân đầu người của Côte d’Ivoire là hơn 1000 USD/người/năm.</w:t>
      </w:r>
    </w:p>
    <w:p w:rsidR="00475A56" w:rsidRPr="00475A56" w:rsidRDefault="00475A56" w:rsidP="00475A56">
      <w:pPr>
        <w:spacing w:after="0" w:line="216" w:lineRule="atLeast"/>
        <w:ind w:firstLine="720"/>
        <w:jc w:val="both"/>
        <w:rPr>
          <w:rFonts w:ascii="Arial" w:eastAsia="Times New Roman" w:hAnsi="Arial" w:cs="Arial"/>
          <w:color w:val="494949"/>
          <w:sz w:val="18"/>
          <w:szCs w:val="18"/>
        </w:rPr>
      </w:pPr>
      <w:r w:rsidRPr="00475A56">
        <w:rPr>
          <w:rFonts w:ascii="Arial" w:eastAsia="Times New Roman" w:hAnsi="Arial" w:cs="Arial"/>
          <w:color w:val="494949"/>
          <w:sz w:val="18"/>
          <w:szCs w:val="18"/>
        </w:rPr>
        <w:t>Nền kinh tế Côte d’Ivoire chủ yếu dựa vào nông nghiệp. Lĩnh vực này mặc dù trải qua những khó khăn trong 10 năm qua nhưng vẫn sử dụng tới 60% dân lao động, đóng góp 28% vào GDP và mang lại 60% thu xuất khẩu. Đặc điểm của ngành nông nghiệp trước đây là có sự hiện diện của Nhà nước. Giờ đây, Nhà nước đã ngừng can thiệp vào lĩnh vực này.</w:t>
      </w:r>
    </w:p>
    <w:p w:rsidR="00475A56" w:rsidRPr="00475A56" w:rsidRDefault="00475A56" w:rsidP="00475A56">
      <w:pPr>
        <w:spacing w:after="0" w:line="216" w:lineRule="atLeast"/>
        <w:ind w:firstLine="720"/>
        <w:jc w:val="both"/>
        <w:rPr>
          <w:rFonts w:ascii="Arial" w:eastAsia="Times New Roman" w:hAnsi="Arial" w:cs="Arial"/>
          <w:color w:val="494949"/>
          <w:sz w:val="18"/>
          <w:szCs w:val="18"/>
        </w:rPr>
      </w:pPr>
      <w:r w:rsidRPr="00475A56">
        <w:rPr>
          <w:rFonts w:ascii="Arial" w:eastAsia="Times New Roman" w:hAnsi="Arial" w:cs="Arial"/>
          <w:color w:val="494949"/>
          <w:sz w:val="18"/>
          <w:szCs w:val="18"/>
        </w:rPr>
        <w:t>Là một trong số các nước sản xuất và xuất khẩu lớn nhất thế giới về cà phê, hạt cacao và dầu cọ, nền kinh tế nước này rất nhạy cảm với những biến động về giá cả trên thị trường quốc tế cũng như những thay đổi về thời tiết. Mặc dù chính phủ đã cố gắng đa dạng hoá nền kinh tế nhưng kinh tế nước này vẫn phụ thuộc nhiều vào nông nghiệp và các hoạt động có liên quan, với khoảng 68% số dân sống bằng nghề này.</w:t>
      </w:r>
    </w:p>
    <w:p w:rsidR="00475A56" w:rsidRPr="00475A56" w:rsidRDefault="00475A56" w:rsidP="00475A56">
      <w:pPr>
        <w:spacing w:after="0" w:line="216" w:lineRule="atLeast"/>
        <w:ind w:firstLine="720"/>
        <w:jc w:val="both"/>
        <w:rPr>
          <w:rFonts w:ascii="Arial" w:eastAsia="Times New Roman" w:hAnsi="Arial" w:cs="Arial"/>
          <w:color w:val="494949"/>
          <w:sz w:val="18"/>
          <w:szCs w:val="18"/>
        </w:rPr>
      </w:pPr>
      <w:r w:rsidRPr="00475A56">
        <w:rPr>
          <w:rFonts w:ascii="Arial" w:eastAsia="Times New Roman" w:hAnsi="Arial" w:cs="Arial"/>
          <w:color w:val="494949"/>
          <w:sz w:val="18"/>
          <w:szCs w:val="18"/>
        </w:rPr>
        <w:t>Côte d’Ivoire xuất khẩu chủ yếu các sản phẩm cacao, càphê, gỗ nhiệt đới, dầu mỏ, bông, chuối, dứa, dầu cọ, bông, cá sang các nước Pháp, Hà Lan, Mỹ, Italia, và nhập từ những nước này các mặt hàng như thực phẩm, hàng tiêu dùng, tư liệu sản xuất, nhiên liệu, thiết bị giao thông. Côte d’Ivoire là nhà sản xuất hàng đầu thế giới về cacao (35 đến 40% thị phần) và đây là sản phẩm mang lại nguồn ngoại tệ số 1 cho đất nước.</w:t>
      </w:r>
    </w:p>
    <w:p w:rsidR="00475A56" w:rsidRPr="00475A56" w:rsidRDefault="00475A56" w:rsidP="00475A56">
      <w:pPr>
        <w:spacing w:after="0" w:line="216" w:lineRule="atLeast"/>
        <w:ind w:firstLine="720"/>
        <w:jc w:val="both"/>
        <w:rPr>
          <w:rFonts w:ascii="Arial" w:eastAsia="Times New Roman" w:hAnsi="Arial" w:cs="Arial"/>
          <w:color w:val="494949"/>
          <w:sz w:val="18"/>
          <w:szCs w:val="18"/>
        </w:rPr>
      </w:pPr>
      <w:r w:rsidRPr="00475A56">
        <w:rPr>
          <w:rFonts w:ascii="Arial" w:eastAsia="Times New Roman" w:hAnsi="Arial" w:cs="Arial"/>
          <w:color w:val="494949"/>
          <w:sz w:val="18"/>
          <w:szCs w:val="18"/>
        </w:rPr>
        <w:t>Trong lĩnh vực công nghiệp, ngành công nghiệp dầu hoả cũng khá phát triển, hiện có một nhà máy lọc dầu tại Abidjan và 8 công ty chuyên phân phối và nghiên cứu thị trường dầu.</w:t>
      </w:r>
    </w:p>
    <w:p w:rsidR="00475A56" w:rsidRPr="00475A56" w:rsidRDefault="00475A56" w:rsidP="00475A56">
      <w:pPr>
        <w:spacing w:after="0" w:line="216" w:lineRule="atLeast"/>
        <w:ind w:firstLine="720"/>
        <w:jc w:val="both"/>
        <w:rPr>
          <w:rFonts w:ascii="Arial" w:eastAsia="Times New Roman" w:hAnsi="Arial" w:cs="Arial"/>
          <w:color w:val="494949"/>
          <w:sz w:val="18"/>
          <w:szCs w:val="18"/>
        </w:rPr>
      </w:pPr>
      <w:r w:rsidRPr="00475A56">
        <w:rPr>
          <w:rFonts w:ascii="Arial" w:eastAsia="Times New Roman" w:hAnsi="Arial" w:cs="Arial"/>
          <w:color w:val="494949"/>
          <w:sz w:val="18"/>
          <w:szCs w:val="18"/>
        </w:rPr>
        <w:t>Về tài chính, từ cuối năm 1995, hoạt động của Thị trường chứng khoán Abidjan (BVA) đã tăng, chủ yếu nhờ vào hoạt động tư hữu hoá. Việc vốn hoá đã tăng rõ nét, vượt 182 tỷ vào cuối năm 1994 và 554 tỷ FCFA vào tháng 1/1997. Chỉ số BVA đã tăng giá trị chuyển từ 277,18 vào cuối năm 1995 lên đến 395,5 vào tháng 3/1997. Dự án đầy tham vọng này với sự hỗ trợ của 8 nước UEMOA đã biến Abidjan thành thị trường chứng khoán số 1 của Tây Phi.</w:t>
      </w:r>
    </w:p>
    <w:p w:rsidR="00475A56" w:rsidRPr="00475A56" w:rsidRDefault="00475A56" w:rsidP="00475A56">
      <w:pPr>
        <w:spacing w:after="0" w:line="216" w:lineRule="atLeast"/>
        <w:jc w:val="both"/>
        <w:rPr>
          <w:rFonts w:ascii="Arial" w:eastAsia="Times New Roman" w:hAnsi="Arial" w:cs="Arial"/>
          <w:color w:val="494949"/>
          <w:sz w:val="18"/>
          <w:szCs w:val="18"/>
        </w:rPr>
      </w:pPr>
      <w:r w:rsidRPr="00475A56">
        <w:rPr>
          <w:rFonts w:ascii="Arial" w:eastAsia="Times New Roman" w:hAnsi="Arial" w:cs="Arial"/>
          <w:color w:val="494949"/>
          <w:sz w:val="18"/>
          <w:szCs w:val="18"/>
        </w:rPr>
        <w:t>Về ngoại thương, </w:t>
      </w:r>
      <w:r w:rsidRPr="00475A56">
        <w:rPr>
          <w:rFonts w:ascii="Arial" w:eastAsia="Times New Roman" w:hAnsi="Arial" w:cs="Arial"/>
          <w:b/>
          <w:bCs/>
          <w:i/>
          <w:iCs/>
          <w:color w:val="494949"/>
          <w:sz w:val="18"/>
          <w:szCs w:val="18"/>
        </w:rPr>
        <w:t>năm 2007, kim ngạch xuất nhập khẩu của Côte d’Ivoire đạt 13,7 tỷ USD tỷ USD, trong đó</w:t>
      </w:r>
      <w:r w:rsidRPr="00475A56">
        <w:rPr>
          <w:rFonts w:ascii="Arial" w:eastAsia="Times New Roman" w:hAnsi="Arial" w:cs="Arial"/>
          <w:color w:val="494949"/>
          <w:sz w:val="18"/>
          <w:szCs w:val="18"/>
        </w:rPr>
        <w:t> </w:t>
      </w:r>
      <w:r w:rsidRPr="00475A56">
        <w:rPr>
          <w:rFonts w:ascii="Arial" w:eastAsia="Times New Roman" w:hAnsi="Arial" w:cs="Arial"/>
          <w:b/>
          <w:bCs/>
          <w:i/>
          <w:iCs/>
          <w:color w:val="494949"/>
          <w:sz w:val="18"/>
          <w:szCs w:val="18"/>
        </w:rPr>
        <w:t>xuất khẩu đạt 8,5 tỷ USD</w:t>
      </w:r>
      <w:r w:rsidRPr="00475A56">
        <w:rPr>
          <w:rFonts w:ascii="Arial" w:eastAsia="Times New Roman" w:hAnsi="Arial" w:cs="Arial"/>
          <w:color w:val="494949"/>
          <w:sz w:val="18"/>
          <w:szCs w:val="18"/>
        </w:rPr>
        <w:t> và </w:t>
      </w:r>
      <w:r w:rsidRPr="00475A56">
        <w:rPr>
          <w:rFonts w:ascii="Arial" w:eastAsia="Times New Roman" w:hAnsi="Arial" w:cs="Arial"/>
          <w:b/>
          <w:bCs/>
          <w:i/>
          <w:iCs/>
          <w:color w:val="494949"/>
          <w:sz w:val="18"/>
          <w:szCs w:val="18"/>
        </w:rPr>
        <w:t>nhập khẩu đạt 5,2 tỷ USD</w:t>
      </w:r>
      <w:r w:rsidRPr="00475A56">
        <w:rPr>
          <w:rFonts w:ascii="Arial" w:eastAsia="Times New Roman" w:hAnsi="Arial" w:cs="Arial"/>
          <w:color w:val="494949"/>
          <w:sz w:val="18"/>
          <w:szCs w:val="18"/>
        </w:rPr>
        <w:t>. Các mặt hàng xuất khẩu chủ yếu của Côte d’Ivoire là ca cao, cà phê, dầu mỏ, bông và các sản phẩm nông nghiệp thuỷ sản, các bạn hàng xuất khẩu chính của Côte d’Ivoire là Pháp, Hà Lan, Mỹ, Nigeria...Côte d’Ivoire nhập khẩu chủ yếu từ các nước Pháp, Nigeria và Thái Lan với các mặt hàng chính là xăng dầu, máy móc thiết bị, lương thực.</w:t>
      </w:r>
    </w:p>
    <w:p w:rsidR="00475A56" w:rsidRPr="00475A56" w:rsidRDefault="00475A56" w:rsidP="00475A56">
      <w:pPr>
        <w:spacing w:after="0" w:line="216" w:lineRule="atLeast"/>
        <w:jc w:val="both"/>
        <w:rPr>
          <w:rFonts w:ascii="Arial" w:eastAsia="Times New Roman" w:hAnsi="Arial" w:cs="Arial"/>
          <w:color w:val="494949"/>
          <w:sz w:val="18"/>
          <w:szCs w:val="18"/>
        </w:rPr>
      </w:pPr>
      <w:r w:rsidRPr="00475A56">
        <w:rPr>
          <w:rFonts w:ascii="Arial" w:eastAsia="Times New Roman" w:hAnsi="Arial" w:cs="Arial"/>
          <w:b/>
          <w:bCs/>
          <w:color w:val="494949"/>
          <w:sz w:val="18"/>
          <w:szCs w:val="18"/>
          <w:lang w:val="fr-FR"/>
        </w:rPr>
        <w:t>2. Quan hệ Việt Nam - Côte d’Ivoire</w:t>
      </w:r>
    </w:p>
    <w:p w:rsidR="00475A56" w:rsidRPr="00475A56" w:rsidRDefault="00475A56" w:rsidP="00475A56">
      <w:pPr>
        <w:spacing w:after="0" w:line="216" w:lineRule="atLeast"/>
        <w:ind w:firstLine="720"/>
        <w:jc w:val="both"/>
        <w:rPr>
          <w:rFonts w:ascii="Arial" w:eastAsia="Times New Roman" w:hAnsi="Arial" w:cs="Arial"/>
          <w:color w:val="494949"/>
          <w:sz w:val="18"/>
          <w:szCs w:val="18"/>
        </w:rPr>
      </w:pPr>
      <w:r w:rsidRPr="00475A56">
        <w:rPr>
          <w:rFonts w:ascii="Arial" w:eastAsia="Times New Roman" w:hAnsi="Arial" w:cs="Arial"/>
          <w:color w:val="494949"/>
          <w:sz w:val="18"/>
          <w:szCs w:val="18"/>
        </w:rPr>
        <w:t>Việt Nam và Côte d’Ivoire thiết lập quan hệ ngoại giao từ ngày 6/10/1975. Năm 1985, thông qua nhóm Việt kiều làm việc cho các Tổ chức quốc tế Abidjan, Bộ trưởng Giáo dục và Nghiên cứu khoa học Côte d’Ivoire mong muốn Việt Nam giúp đỡ nước này về kỹ thuật sản xuất nông nghiệp, đặc biệt là trồng lúa nước và muốn nhập gạo của Việt Nam. Năm 1997, ông Alain Gause – Bộ trưởng Nguyên liệu Côte d’Ivoire đồng thời là Phó Chủ tịch Tổ chức cà phê Á-Phi-Mỹ La tinh đã sang thăm Việt Nam và vận động nước ta tham gia tổ chức này. Tháng 11/1997, Tổng thống Heri Konan Bédie đã dẫn đầu đoàn Côte d’Ivoire tới dự Hội nghị Cấp cao lần thứ 7 các nước có sử dụng tiếng Pháp tổ chức tại Hà Nội.</w:t>
      </w:r>
    </w:p>
    <w:p w:rsidR="00475A56" w:rsidRPr="00475A56" w:rsidRDefault="00475A56" w:rsidP="00475A56">
      <w:pPr>
        <w:spacing w:after="0" w:line="216" w:lineRule="atLeast"/>
        <w:ind w:firstLine="720"/>
        <w:jc w:val="both"/>
        <w:rPr>
          <w:rFonts w:ascii="Arial" w:eastAsia="Times New Roman" w:hAnsi="Arial" w:cs="Arial"/>
          <w:color w:val="494949"/>
          <w:sz w:val="18"/>
          <w:szCs w:val="18"/>
        </w:rPr>
      </w:pPr>
      <w:r w:rsidRPr="00475A56">
        <w:rPr>
          <w:rFonts w:ascii="Arial" w:eastAsia="Times New Roman" w:hAnsi="Arial" w:cs="Arial"/>
          <w:color w:val="494949"/>
          <w:sz w:val="18"/>
          <w:szCs w:val="18"/>
        </w:rPr>
        <w:t>Tháng 6 năm 2008, Đoàn Bộ Công Thương Việt Nam do Thứ trưởng Lê Dương Quang dẫn đầu đã sang thăm và làm việc tại Côte d’Ivoire. Tại đây, hai nước đã tổ chức Hội thảo doanh nghiệp song phương.</w:t>
      </w:r>
    </w:p>
    <w:p w:rsidR="00475A56" w:rsidRPr="00475A56" w:rsidRDefault="00475A56" w:rsidP="00475A56">
      <w:pPr>
        <w:spacing w:after="0" w:line="216" w:lineRule="atLeast"/>
        <w:ind w:firstLine="720"/>
        <w:jc w:val="both"/>
        <w:rPr>
          <w:rFonts w:ascii="Arial" w:eastAsia="Times New Roman" w:hAnsi="Arial" w:cs="Arial"/>
          <w:color w:val="494949"/>
          <w:sz w:val="18"/>
          <w:szCs w:val="18"/>
        </w:rPr>
      </w:pPr>
      <w:r w:rsidRPr="00475A56">
        <w:rPr>
          <w:rFonts w:ascii="Arial" w:eastAsia="Times New Roman" w:hAnsi="Arial" w:cs="Arial"/>
          <w:color w:val="494949"/>
          <w:sz w:val="18"/>
          <w:szCs w:val="18"/>
        </w:rPr>
        <w:t>Về tiềm năng phát triển kinh tế-thương mại giữa hai nước, Côte d’Ivoire là một thị trường có tiềm năng nhất khu vực Tây Phi bất chấp cuộc khủng hoảng chính trị hiện nay. Chính phủ nước này cho biết sẽ biến khu vực tư nhân thành mô hình phát triển. Sở dĩ đây là một thị trường triển vọng vì nó không đòi hỏi sản phẩm phải có chất lượng và mẫu mã quá cao như ở các khu vực khác. Ngoài ra, những mặt hàng mà bạn cần, ta hoàn toàn có khả năng đáp ứng. Mặt khác, Côte d’Ivoire là một thành viên của Liên minh kinh tế tiền tệ châu Phi (UEMOA), áp dụng những quy định chung về xuất nhập khẩu của tổ chức này nên ta có thể sử dụng Côte d’Ivoire như một cầu nối để thâm nhập những thị trường khác. Bên cạnh đó, ta có thể mua một số sản phẩm xuất khẩu của Côte d’Ivoire như bông, phân bón, hoa quả... với với giá rẻ để phục vụ tiêu dùng trong nước hoặc chế biến xuất khẩu. Với sự phát triển mạnh mẽ của các phương tiện thông tin đại chúng, đặc biệt là Internet, các doanh nghiệp của ta và bạn ngày càng có nhiều cơ hội tìm hiểu nhau hơn.</w:t>
      </w:r>
    </w:p>
    <w:p w:rsidR="00475A56" w:rsidRPr="00475A56" w:rsidRDefault="00475A56" w:rsidP="00475A56">
      <w:pPr>
        <w:spacing w:after="0" w:line="216" w:lineRule="atLeast"/>
        <w:ind w:firstLine="720"/>
        <w:jc w:val="both"/>
        <w:rPr>
          <w:rFonts w:ascii="Arial" w:eastAsia="Times New Roman" w:hAnsi="Arial" w:cs="Arial"/>
          <w:color w:val="494949"/>
          <w:sz w:val="18"/>
          <w:szCs w:val="18"/>
        </w:rPr>
      </w:pPr>
      <w:r w:rsidRPr="00475A56">
        <w:rPr>
          <w:rFonts w:ascii="Arial" w:eastAsia="Times New Roman" w:hAnsi="Arial" w:cs="Arial"/>
          <w:b/>
          <w:bCs/>
          <w:color w:val="494949"/>
          <w:sz w:val="18"/>
          <w:szCs w:val="18"/>
        </w:rPr>
        <w:t>Kim ngạch xuất nhập khẩu Việt Nam – Côte d’Ivoire, 2003 – 2007</w:t>
      </w:r>
    </w:p>
    <w:p w:rsidR="00475A56" w:rsidRPr="00475A56" w:rsidRDefault="00475A56" w:rsidP="00475A56">
      <w:pPr>
        <w:spacing w:line="216" w:lineRule="atLeast"/>
        <w:ind w:firstLine="720"/>
        <w:jc w:val="right"/>
        <w:rPr>
          <w:rFonts w:ascii="Arial" w:eastAsia="Times New Roman" w:hAnsi="Arial" w:cs="Arial"/>
          <w:color w:val="494949"/>
          <w:sz w:val="18"/>
          <w:szCs w:val="18"/>
        </w:rPr>
      </w:pPr>
      <w:r w:rsidRPr="00475A56">
        <w:rPr>
          <w:rFonts w:ascii="Arial" w:eastAsia="Times New Roman" w:hAnsi="Arial" w:cs="Arial"/>
          <w:i/>
          <w:iCs/>
          <w:color w:val="494949"/>
          <w:sz w:val="18"/>
          <w:szCs w:val="18"/>
        </w:rPr>
        <w:t>Đơn vị triệu USD</w:t>
      </w:r>
    </w:p>
    <w:tbl>
      <w:tblPr>
        <w:tblW w:w="8820" w:type="dxa"/>
        <w:tblInd w:w="288" w:type="dxa"/>
        <w:tblCellMar>
          <w:left w:w="0" w:type="dxa"/>
          <w:right w:w="0" w:type="dxa"/>
        </w:tblCellMar>
        <w:tblLook w:val="04A0" w:firstRow="1" w:lastRow="0" w:firstColumn="1" w:lastColumn="0" w:noHBand="0" w:noVBand="1"/>
      </w:tblPr>
      <w:tblGrid>
        <w:gridCol w:w="1601"/>
        <w:gridCol w:w="1099"/>
        <w:gridCol w:w="1161"/>
        <w:gridCol w:w="999"/>
        <w:gridCol w:w="1080"/>
        <w:gridCol w:w="1008"/>
        <w:gridCol w:w="1872"/>
      </w:tblGrid>
      <w:tr w:rsidR="00475A56" w:rsidRPr="00475A56" w:rsidTr="00475A56">
        <w:trPr>
          <w:trHeight w:val="305"/>
        </w:trPr>
        <w:tc>
          <w:tcPr>
            <w:tcW w:w="1601" w:type="dxa"/>
            <w:tcBorders>
              <w:top w:val="single" w:sz="4" w:space="0" w:color="auto"/>
              <w:left w:val="single" w:sz="4" w:space="0" w:color="auto"/>
              <w:bottom w:val="single" w:sz="4" w:space="0" w:color="auto"/>
              <w:right w:val="single" w:sz="4" w:space="0" w:color="auto"/>
            </w:tcBorders>
            <w:shd w:val="clear" w:color="auto" w:fill="808080"/>
            <w:tcMar>
              <w:top w:w="0" w:type="dxa"/>
              <w:left w:w="108" w:type="dxa"/>
              <w:bottom w:w="0" w:type="dxa"/>
              <w:right w:w="108" w:type="dxa"/>
            </w:tcMar>
            <w:hideMark/>
          </w:tcPr>
          <w:p w:rsidR="00475A56" w:rsidRPr="00475A56" w:rsidRDefault="00475A56" w:rsidP="00475A56">
            <w:pPr>
              <w:spacing w:after="0" w:line="240" w:lineRule="auto"/>
              <w:rPr>
                <w:rFonts w:ascii="Arial" w:eastAsia="Times New Roman" w:hAnsi="Arial" w:cs="Arial"/>
                <w:color w:val="494949"/>
                <w:sz w:val="18"/>
                <w:szCs w:val="18"/>
              </w:rPr>
            </w:pPr>
          </w:p>
        </w:tc>
        <w:tc>
          <w:tcPr>
            <w:tcW w:w="1099" w:type="dxa"/>
            <w:tcBorders>
              <w:top w:val="single" w:sz="4" w:space="0" w:color="auto"/>
              <w:left w:val="nil"/>
              <w:bottom w:val="single" w:sz="4" w:space="0" w:color="auto"/>
              <w:right w:val="single" w:sz="4" w:space="0" w:color="auto"/>
            </w:tcBorders>
            <w:shd w:val="clear" w:color="auto" w:fill="808080"/>
            <w:tcMar>
              <w:top w:w="0" w:type="dxa"/>
              <w:left w:w="108" w:type="dxa"/>
              <w:bottom w:w="0" w:type="dxa"/>
              <w:right w:w="108" w:type="dxa"/>
            </w:tcMar>
            <w:hideMark/>
          </w:tcPr>
          <w:p w:rsidR="00475A56" w:rsidRPr="00475A56" w:rsidRDefault="00475A56" w:rsidP="00475A56">
            <w:pPr>
              <w:spacing w:after="0" w:line="216" w:lineRule="atLeast"/>
              <w:jc w:val="center"/>
              <w:rPr>
                <w:rFonts w:eastAsia="Times New Roman" w:cs="Times New Roman"/>
                <w:sz w:val="24"/>
                <w:szCs w:val="24"/>
              </w:rPr>
            </w:pPr>
            <w:r w:rsidRPr="00475A56">
              <w:rPr>
                <w:rFonts w:eastAsia="Times New Roman" w:cs="Times New Roman"/>
                <w:b/>
                <w:bCs/>
                <w:sz w:val="18"/>
                <w:szCs w:val="18"/>
              </w:rPr>
              <w:t>2003</w:t>
            </w:r>
          </w:p>
        </w:tc>
        <w:tc>
          <w:tcPr>
            <w:tcW w:w="1161" w:type="dxa"/>
            <w:tcBorders>
              <w:top w:val="single" w:sz="4" w:space="0" w:color="auto"/>
              <w:left w:val="nil"/>
              <w:bottom w:val="single" w:sz="4" w:space="0" w:color="auto"/>
              <w:right w:val="single" w:sz="4" w:space="0" w:color="auto"/>
            </w:tcBorders>
            <w:shd w:val="clear" w:color="auto" w:fill="808080"/>
            <w:tcMar>
              <w:top w:w="0" w:type="dxa"/>
              <w:left w:w="108" w:type="dxa"/>
              <w:bottom w:w="0" w:type="dxa"/>
              <w:right w:w="108" w:type="dxa"/>
            </w:tcMar>
            <w:hideMark/>
          </w:tcPr>
          <w:p w:rsidR="00475A56" w:rsidRPr="00475A56" w:rsidRDefault="00475A56" w:rsidP="00475A56">
            <w:pPr>
              <w:spacing w:after="0" w:line="216" w:lineRule="atLeast"/>
              <w:jc w:val="center"/>
              <w:rPr>
                <w:rFonts w:eastAsia="Times New Roman" w:cs="Times New Roman"/>
                <w:sz w:val="24"/>
                <w:szCs w:val="24"/>
              </w:rPr>
            </w:pPr>
            <w:r w:rsidRPr="00475A56">
              <w:rPr>
                <w:rFonts w:eastAsia="Times New Roman" w:cs="Times New Roman"/>
                <w:b/>
                <w:bCs/>
                <w:sz w:val="18"/>
                <w:szCs w:val="18"/>
              </w:rPr>
              <w:t>2004</w:t>
            </w:r>
          </w:p>
        </w:tc>
        <w:tc>
          <w:tcPr>
            <w:tcW w:w="999" w:type="dxa"/>
            <w:tcBorders>
              <w:top w:val="single" w:sz="4" w:space="0" w:color="auto"/>
              <w:left w:val="nil"/>
              <w:bottom w:val="single" w:sz="4" w:space="0" w:color="auto"/>
              <w:right w:val="single" w:sz="4" w:space="0" w:color="auto"/>
            </w:tcBorders>
            <w:shd w:val="clear" w:color="auto" w:fill="808080"/>
            <w:tcMar>
              <w:top w:w="0" w:type="dxa"/>
              <w:left w:w="108" w:type="dxa"/>
              <w:bottom w:w="0" w:type="dxa"/>
              <w:right w:w="108" w:type="dxa"/>
            </w:tcMar>
            <w:hideMark/>
          </w:tcPr>
          <w:p w:rsidR="00475A56" w:rsidRPr="00475A56" w:rsidRDefault="00475A56" w:rsidP="00475A56">
            <w:pPr>
              <w:spacing w:after="0" w:line="216" w:lineRule="atLeast"/>
              <w:jc w:val="center"/>
              <w:rPr>
                <w:rFonts w:eastAsia="Times New Roman" w:cs="Times New Roman"/>
                <w:sz w:val="24"/>
                <w:szCs w:val="24"/>
              </w:rPr>
            </w:pPr>
            <w:r w:rsidRPr="00475A56">
              <w:rPr>
                <w:rFonts w:eastAsia="Times New Roman" w:cs="Times New Roman"/>
                <w:b/>
                <w:bCs/>
                <w:sz w:val="18"/>
                <w:szCs w:val="18"/>
              </w:rPr>
              <w:t>2005</w:t>
            </w:r>
          </w:p>
        </w:tc>
        <w:tc>
          <w:tcPr>
            <w:tcW w:w="1080" w:type="dxa"/>
            <w:tcBorders>
              <w:top w:val="single" w:sz="4" w:space="0" w:color="auto"/>
              <w:left w:val="nil"/>
              <w:bottom w:val="single" w:sz="4" w:space="0" w:color="auto"/>
              <w:right w:val="single" w:sz="4" w:space="0" w:color="auto"/>
            </w:tcBorders>
            <w:shd w:val="clear" w:color="auto" w:fill="808080"/>
            <w:tcMar>
              <w:top w:w="0" w:type="dxa"/>
              <w:left w:w="108" w:type="dxa"/>
              <w:bottom w:w="0" w:type="dxa"/>
              <w:right w:w="108" w:type="dxa"/>
            </w:tcMar>
            <w:hideMark/>
          </w:tcPr>
          <w:p w:rsidR="00475A56" w:rsidRPr="00475A56" w:rsidRDefault="00475A56" w:rsidP="00475A56">
            <w:pPr>
              <w:spacing w:after="0" w:line="216" w:lineRule="atLeast"/>
              <w:jc w:val="center"/>
              <w:rPr>
                <w:rFonts w:eastAsia="Times New Roman" w:cs="Times New Roman"/>
                <w:sz w:val="24"/>
                <w:szCs w:val="24"/>
              </w:rPr>
            </w:pPr>
            <w:r w:rsidRPr="00475A56">
              <w:rPr>
                <w:rFonts w:eastAsia="Times New Roman" w:cs="Times New Roman"/>
                <w:b/>
                <w:bCs/>
                <w:sz w:val="18"/>
                <w:szCs w:val="18"/>
              </w:rPr>
              <w:t>2006</w:t>
            </w:r>
          </w:p>
        </w:tc>
        <w:tc>
          <w:tcPr>
            <w:tcW w:w="1008" w:type="dxa"/>
            <w:tcBorders>
              <w:top w:val="single" w:sz="4" w:space="0" w:color="auto"/>
              <w:left w:val="nil"/>
              <w:bottom w:val="single" w:sz="4" w:space="0" w:color="auto"/>
              <w:right w:val="single" w:sz="4" w:space="0" w:color="auto"/>
            </w:tcBorders>
            <w:shd w:val="clear" w:color="auto" w:fill="808080"/>
            <w:tcMar>
              <w:top w:w="0" w:type="dxa"/>
              <w:left w:w="108" w:type="dxa"/>
              <w:bottom w:w="0" w:type="dxa"/>
              <w:right w:w="108" w:type="dxa"/>
            </w:tcMar>
            <w:hideMark/>
          </w:tcPr>
          <w:p w:rsidR="00475A56" w:rsidRPr="00475A56" w:rsidRDefault="00475A56" w:rsidP="00475A56">
            <w:pPr>
              <w:spacing w:after="0" w:line="216" w:lineRule="atLeast"/>
              <w:jc w:val="center"/>
              <w:rPr>
                <w:rFonts w:eastAsia="Times New Roman" w:cs="Times New Roman"/>
                <w:sz w:val="24"/>
                <w:szCs w:val="24"/>
              </w:rPr>
            </w:pPr>
            <w:r w:rsidRPr="00475A56">
              <w:rPr>
                <w:rFonts w:eastAsia="Times New Roman" w:cs="Times New Roman"/>
                <w:b/>
                <w:bCs/>
                <w:sz w:val="18"/>
                <w:szCs w:val="18"/>
              </w:rPr>
              <w:t>2007</w:t>
            </w:r>
          </w:p>
        </w:tc>
        <w:tc>
          <w:tcPr>
            <w:tcW w:w="1872" w:type="dxa"/>
            <w:tcBorders>
              <w:top w:val="single" w:sz="4" w:space="0" w:color="auto"/>
              <w:left w:val="nil"/>
              <w:bottom w:val="single" w:sz="4" w:space="0" w:color="auto"/>
              <w:right w:val="single" w:sz="4" w:space="0" w:color="auto"/>
            </w:tcBorders>
            <w:shd w:val="clear" w:color="auto" w:fill="808080"/>
            <w:tcMar>
              <w:top w:w="0" w:type="dxa"/>
              <w:left w:w="108" w:type="dxa"/>
              <w:bottom w:w="0" w:type="dxa"/>
              <w:right w:w="108" w:type="dxa"/>
            </w:tcMar>
            <w:hideMark/>
          </w:tcPr>
          <w:p w:rsidR="00475A56" w:rsidRPr="00475A56" w:rsidRDefault="00475A56" w:rsidP="00475A56">
            <w:pPr>
              <w:spacing w:after="0" w:line="216" w:lineRule="atLeast"/>
              <w:jc w:val="center"/>
              <w:rPr>
                <w:rFonts w:eastAsia="Times New Roman" w:cs="Times New Roman"/>
                <w:sz w:val="24"/>
                <w:szCs w:val="24"/>
              </w:rPr>
            </w:pPr>
            <w:r w:rsidRPr="00475A56">
              <w:rPr>
                <w:rFonts w:eastAsia="Times New Roman" w:cs="Times New Roman"/>
                <w:b/>
                <w:bCs/>
                <w:sz w:val="18"/>
                <w:szCs w:val="18"/>
              </w:rPr>
              <w:t>9 tháng 2008</w:t>
            </w:r>
          </w:p>
        </w:tc>
      </w:tr>
      <w:tr w:rsidR="00475A56" w:rsidRPr="00475A56" w:rsidTr="00475A56">
        <w:tc>
          <w:tcPr>
            <w:tcW w:w="1601"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475A56" w:rsidRPr="00475A56" w:rsidRDefault="00475A56" w:rsidP="00475A56">
            <w:pPr>
              <w:spacing w:after="0" w:line="216" w:lineRule="atLeast"/>
              <w:jc w:val="both"/>
              <w:rPr>
                <w:rFonts w:eastAsia="Times New Roman" w:cs="Times New Roman"/>
                <w:sz w:val="24"/>
                <w:szCs w:val="24"/>
              </w:rPr>
            </w:pPr>
            <w:r w:rsidRPr="00475A56">
              <w:rPr>
                <w:rFonts w:eastAsia="Times New Roman" w:cs="Times New Roman"/>
                <w:sz w:val="18"/>
                <w:szCs w:val="18"/>
              </w:rPr>
              <w:t>Xuất khẩu</w:t>
            </w:r>
          </w:p>
        </w:tc>
        <w:tc>
          <w:tcPr>
            <w:tcW w:w="1099" w:type="dxa"/>
            <w:tcBorders>
              <w:top w:val="nil"/>
              <w:left w:val="nil"/>
              <w:bottom w:val="single" w:sz="4" w:space="0" w:color="auto"/>
              <w:right w:val="single" w:sz="4" w:space="0" w:color="auto"/>
            </w:tcBorders>
            <w:shd w:val="clear" w:color="auto" w:fill="auto"/>
            <w:tcMar>
              <w:top w:w="0" w:type="dxa"/>
              <w:left w:w="108" w:type="dxa"/>
              <w:bottom w:w="0" w:type="dxa"/>
              <w:right w:w="108" w:type="dxa"/>
            </w:tcMar>
            <w:hideMark/>
          </w:tcPr>
          <w:p w:rsidR="00475A56" w:rsidRPr="00475A56" w:rsidRDefault="00475A56" w:rsidP="00475A56">
            <w:pPr>
              <w:spacing w:after="0" w:line="216" w:lineRule="atLeast"/>
              <w:jc w:val="right"/>
              <w:rPr>
                <w:rFonts w:eastAsia="Times New Roman" w:cs="Times New Roman"/>
                <w:sz w:val="24"/>
                <w:szCs w:val="24"/>
              </w:rPr>
            </w:pPr>
            <w:r w:rsidRPr="00475A56">
              <w:rPr>
                <w:rFonts w:eastAsia="Times New Roman" w:cs="Times New Roman"/>
                <w:sz w:val="18"/>
                <w:szCs w:val="18"/>
              </w:rPr>
              <w:t>4,59</w:t>
            </w:r>
          </w:p>
        </w:tc>
        <w:tc>
          <w:tcPr>
            <w:tcW w:w="1161" w:type="dxa"/>
            <w:tcBorders>
              <w:top w:val="nil"/>
              <w:left w:val="nil"/>
              <w:bottom w:val="single" w:sz="4" w:space="0" w:color="auto"/>
              <w:right w:val="single" w:sz="4" w:space="0" w:color="auto"/>
            </w:tcBorders>
            <w:shd w:val="clear" w:color="auto" w:fill="auto"/>
            <w:tcMar>
              <w:top w:w="0" w:type="dxa"/>
              <w:left w:w="108" w:type="dxa"/>
              <w:bottom w:w="0" w:type="dxa"/>
              <w:right w:w="108" w:type="dxa"/>
            </w:tcMar>
            <w:hideMark/>
          </w:tcPr>
          <w:p w:rsidR="00475A56" w:rsidRPr="00475A56" w:rsidRDefault="00475A56" w:rsidP="00475A56">
            <w:pPr>
              <w:spacing w:after="0" w:line="216" w:lineRule="atLeast"/>
              <w:jc w:val="right"/>
              <w:rPr>
                <w:rFonts w:eastAsia="Times New Roman" w:cs="Times New Roman"/>
                <w:sz w:val="24"/>
                <w:szCs w:val="24"/>
              </w:rPr>
            </w:pPr>
            <w:r w:rsidRPr="00475A56">
              <w:rPr>
                <w:rFonts w:eastAsia="Times New Roman" w:cs="Times New Roman"/>
                <w:sz w:val="18"/>
                <w:szCs w:val="18"/>
              </w:rPr>
              <w:t>32,69</w:t>
            </w:r>
          </w:p>
        </w:tc>
        <w:tc>
          <w:tcPr>
            <w:tcW w:w="999" w:type="dxa"/>
            <w:tcBorders>
              <w:top w:val="nil"/>
              <w:left w:val="nil"/>
              <w:bottom w:val="single" w:sz="4" w:space="0" w:color="auto"/>
              <w:right w:val="single" w:sz="4" w:space="0" w:color="auto"/>
            </w:tcBorders>
            <w:shd w:val="clear" w:color="auto" w:fill="auto"/>
            <w:tcMar>
              <w:top w:w="0" w:type="dxa"/>
              <w:left w:w="108" w:type="dxa"/>
              <w:bottom w:w="0" w:type="dxa"/>
              <w:right w:w="108" w:type="dxa"/>
            </w:tcMar>
            <w:hideMark/>
          </w:tcPr>
          <w:p w:rsidR="00475A56" w:rsidRPr="00475A56" w:rsidRDefault="00475A56" w:rsidP="00475A56">
            <w:pPr>
              <w:spacing w:after="0" w:line="216" w:lineRule="atLeast"/>
              <w:jc w:val="right"/>
              <w:rPr>
                <w:rFonts w:eastAsia="Times New Roman" w:cs="Times New Roman"/>
                <w:sz w:val="24"/>
                <w:szCs w:val="24"/>
              </w:rPr>
            </w:pPr>
            <w:r w:rsidRPr="00475A56">
              <w:rPr>
                <w:rFonts w:eastAsia="Times New Roman" w:cs="Times New Roman"/>
                <w:sz w:val="18"/>
                <w:szCs w:val="18"/>
              </w:rPr>
              <w:t>81,1</w:t>
            </w:r>
          </w:p>
        </w:tc>
        <w:tc>
          <w:tcPr>
            <w:tcW w:w="1080" w:type="dxa"/>
            <w:tcBorders>
              <w:top w:val="nil"/>
              <w:left w:val="nil"/>
              <w:bottom w:val="single" w:sz="4" w:space="0" w:color="auto"/>
              <w:right w:val="single" w:sz="4" w:space="0" w:color="auto"/>
            </w:tcBorders>
            <w:shd w:val="clear" w:color="auto" w:fill="auto"/>
            <w:tcMar>
              <w:top w:w="0" w:type="dxa"/>
              <w:left w:w="108" w:type="dxa"/>
              <w:bottom w:w="0" w:type="dxa"/>
              <w:right w:w="108" w:type="dxa"/>
            </w:tcMar>
            <w:hideMark/>
          </w:tcPr>
          <w:p w:rsidR="00475A56" w:rsidRPr="00475A56" w:rsidRDefault="00475A56" w:rsidP="00475A56">
            <w:pPr>
              <w:spacing w:after="0" w:line="216" w:lineRule="atLeast"/>
              <w:jc w:val="right"/>
              <w:rPr>
                <w:rFonts w:eastAsia="Times New Roman" w:cs="Times New Roman"/>
                <w:sz w:val="24"/>
                <w:szCs w:val="24"/>
              </w:rPr>
            </w:pPr>
            <w:r w:rsidRPr="00475A56">
              <w:rPr>
                <w:rFonts w:eastAsia="Times New Roman" w:cs="Times New Roman"/>
                <w:sz w:val="18"/>
                <w:szCs w:val="18"/>
              </w:rPr>
              <w:t>54,97</w:t>
            </w:r>
          </w:p>
        </w:tc>
        <w:tc>
          <w:tcPr>
            <w:tcW w:w="1008" w:type="dxa"/>
            <w:tcBorders>
              <w:top w:val="nil"/>
              <w:left w:val="nil"/>
              <w:bottom w:val="single" w:sz="4" w:space="0" w:color="auto"/>
              <w:right w:val="single" w:sz="4" w:space="0" w:color="auto"/>
            </w:tcBorders>
            <w:shd w:val="clear" w:color="auto" w:fill="auto"/>
            <w:tcMar>
              <w:top w:w="0" w:type="dxa"/>
              <w:left w:w="108" w:type="dxa"/>
              <w:bottom w:w="0" w:type="dxa"/>
              <w:right w:w="108" w:type="dxa"/>
            </w:tcMar>
            <w:hideMark/>
          </w:tcPr>
          <w:p w:rsidR="00475A56" w:rsidRPr="00475A56" w:rsidRDefault="00475A56" w:rsidP="00475A56">
            <w:pPr>
              <w:spacing w:after="0" w:line="216" w:lineRule="atLeast"/>
              <w:jc w:val="right"/>
              <w:rPr>
                <w:rFonts w:eastAsia="Times New Roman" w:cs="Times New Roman"/>
                <w:sz w:val="24"/>
                <w:szCs w:val="24"/>
              </w:rPr>
            </w:pPr>
            <w:r w:rsidRPr="00475A56">
              <w:rPr>
                <w:rFonts w:eastAsia="Times New Roman" w:cs="Times New Roman"/>
                <w:sz w:val="18"/>
                <w:szCs w:val="18"/>
                <w:lang w:val="pt-PT"/>
              </w:rPr>
              <w:t>50,0</w:t>
            </w:r>
          </w:p>
        </w:tc>
        <w:tc>
          <w:tcPr>
            <w:tcW w:w="1872" w:type="dxa"/>
            <w:tcBorders>
              <w:top w:val="nil"/>
              <w:left w:val="nil"/>
              <w:bottom w:val="single" w:sz="4" w:space="0" w:color="auto"/>
              <w:right w:val="single" w:sz="4" w:space="0" w:color="auto"/>
            </w:tcBorders>
            <w:shd w:val="clear" w:color="auto" w:fill="auto"/>
            <w:tcMar>
              <w:top w:w="0" w:type="dxa"/>
              <w:left w:w="108" w:type="dxa"/>
              <w:bottom w:w="0" w:type="dxa"/>
              <w:right w:w="108" w:type="dxa"/>
            </w:tcMar>
            <w:hideMark/>
          </w:tcPr>
          <w:p w:rsidR="00475A56" w:rsidRPr="00475A56" w:rsidRDefault="00475A56" w:rsidP="00475A56">
            <w:pPr>
              <w:spacing w:after="0" w:line="216" w:lineRule="atLeast"/>
              <w:jc w:val="right"/>
              <w:rPr>
                <w:rFonts w:eastAsia="Times New Roman" w:cs="Times New Roman"/>
                <w:sz w:val="24"/>
                <w:szCs w:val="24"/>
              </w:rPr>
            </w:pPr>
            <w:r w:rsidRPr="00475A56">
              <w:rPr>
                <w:rFonts w:eastAsia="Times New Roman" w:cs="Times New Roman"/>
                <w:sz w:val="18"/>
                <w:szCs w:val="18"/>
                <w:lang w:val="pt-PT"/>
              </w:rPr>
              <w:t>65,5</w:t>
            </w:r>
          </w:p>
        </w:tc>
      </w:tr>
      <w:tr w:rsidR="00475A56" w:rsidRPr="00475A56" w:rsidTr="00475A56">
        <w:tc>
          <w:tcPr>
            <w:tcW w:w="1601" w:type="dxa"/>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475A56" w:rsidRPr="00475A56" w:rsidRDefault="00475A56" w:rsidP="00475A56">
            <w:pPr>
              <w:spacing w:after="0" w:line="216" w:lineRule="atLeast"/>
              <w:jc w:val="both"/>
              <w:rPr>
                <w:rFonts w:eastAsia="Times New Roman" w:cs="Times New Roman"/>
                <w:sz w:val="24"/>
                <w:szCs w:val="24"/>
              </w:rPr>
            </w:pPr>
            <w:r w:rsidRPr="00475A56">
              <w:rPr>
                <w:rFonts w:eastAsia="Times New Roman" w:cs="Times New Roman"/>
                <w:sz w:val="18"/>
                <w:szCs w:val="18"/>
              </w:rPr>
              <w:t>Nhập khẩu</w:t>
            </w:r>
          </w:p>
        </w:tc>
        <w:tc>
          <w:tcPr>
            <w:tcW w:w="1099" w:type="dxa"/>
            <w:tcBorders>
              <w:top w:val="nil"/>
              <w:left w:val="nil"/>
              <w:bottom w:val="single" w:sz="4" w:space="0" w:color="auto"/>
              <w:right w:val="single" w:sz="4" w:space="0" w:color="auto"/>
            </w:tcBorders>
            <w:shd w:val="clear" w:color="auto" w:fill="auto"/>
            <w:tcMar>
              <w:top w:w="0" w:type="dxa"/>
              <w:left w:w="108" w:type="dxa"/>
              <w:bottom w:w="0" w:type="dxa"/>
              <w:right w:w="108" w:type="dxa"/>
            </w:tcMar>
            <w:hideMark/>
          </w:tcPr>
          <w:p w:rsidR="00475A56" w:rsidRPr="00475A56" w:rsidRDefault="00475A56" w:rsidP="00475A56">
            <w:pPr>
              <w:spacing w:after="0" w:line="216" w:lineRule="atLeast"/>
              <w:jc w:val="right"/>
              <w:rPr>
                <w:rFonts w:eastAsia="Times New Roman" w:cs="Times New Roman"/>
                <w:sz w:val="24"/>
                <w:szCs w:val="24"/>
              </w:rPr>
            </w:pPr>
            <w:r w:rsidRPr="00475A56">
              <w:rPr>
                <w:rFonts w:eastAsia="Times New Roman" w:cs="Times New Roman"/>
                <w:sz w:val="18"/>
                <w:szCs w:val="18"/>
              </w:rPr>
              <w:t>5,07</w:t>
            </w:r>
          </w:p>
        </w:tc>
        <w:tc>
          <w:tcPr>
            <w:tcW w:w="1161" w:type="dxa"/>
            <w:tcBorders>
              <w:top w:val="nil"/>
              <w:left w:val="nil"/>
              <w:bottom w:val="single" w:sz="4" w:space="0" w:color="auto"/>
              <w:right w:val="single" w:sz="4" w:space="0" w:color="auto"/>
            </w:tcBorders>
            <w:shd w:val="clear" w:color="auto" w:fill="auto"/>
            <w:tcMar>
              <w:top w:w="0" w:type="dxa"/>
              <w:left w:w="108" w:type="dxa"/>
              <w:bottom w:w="0" w:type="dxa"/>
              <w:right w:w="108" w:type="dxa"/>
            </w:tcMar>
            <w:hideMark/>
          </w:tcPr>
          <w:p w:rsidR="00475A56" w:rsidRPr="00475A56" w:rsidRDefault="00475A56" w:rsidP="00475A56">
            <w:pPr>
              <w:spacing w:after="0" w:line="216" w:lineRule="atLeast"/>
              <w:jc w:val="right"/>
              <w:rPr>
                <w:rFonts w:eastAsia="Times New Roman" w:cs="Times New Roman"/>
                <w:sz w:val="24"/>
                <w:szCs w:val="24"/>
              </w:rPr>
            </w:pPr>
            <w:r w:rsidRPr="00475A56">
              <w:rPr>
                <w:rFonts w:eastAsia="Times New Roman" w:cs="Times New Roman"/>
                <w:sz w:val="18"/>
                <w:szCs w:val="18"/>
              </w:rPr>
              <w:t>8,44</w:t>
            </w:r>
          </w:p>
        </w:tc>
        <w:tc>
          <w:tcPr>
            <w:tcW w:w="999" w:type="dxa"/>
            <w:tcBorders>
              <w:top w:val="nil"/>
              <w:left w:val="nil"/>
              <w:bottom w:val="single" w:sz="4" w:space="0" w:color="auto"/>
              <w:right w:val="single" w:sz="4" w:space="0" w:color="auto"/>
            </w:tcBorders>
            <w:shd w:val="clear" w:color="auto" w:fill="auto"/>
            <w:tcMar>
              <w:top w:w="0" w:type="dxa"/>
              <w:left w:w="108" w:type="dxa"/>
              <w:bottom w:w="0" w:type="dxa"/>
              <w:right w:w="108" w:type="dxa"/>
            </w:tcMar>
            <w:hideMark/>
          </w:tcPr>
          <w:p w:rsidR="00475A56" w:rsidRPr="00475A56" w:rsidRDefault="00475A56" w:rsidP="00475A56">
            <w:pPr>
              <w:spacing w:after="0" w:line="216" w:lineRule="atLeast"/>
              <w:jc w:val="right"/>
              <w:rPr>
                <w:rFonts w:eastAsia="Times New Roman" w:cs="Times New Roman"/>
                <w:sz w:val="24"/>
                <w:szCs w:val="24"/>
              </w:rPr>
            </w:pPr>
            <w:r w:rsidRPr="00475A56">
              <w:rPr>
                <w:rFonts w:eastAsia="Times New Roman" w:cs="Times New Roman"/>
                <w:sz w:val="18"/>
                <w:szCs w:val="18"/>
              </w:rPr>
              <w:t>12,8</w:t>
            </w:r>
          </w:p>
        </w:tc>
        <w:tc>
          <w:tcPr>
            <w:tcW w:w="1080" w:type="dxa"/>
            <w:tcBorders>
              <w:top w:val="nil"/>
              <w:left w:val="nil"/>
              <w:bottom w:val="single" w:sz="4" w:space="0" w:color="auto"/>
              <w:right w:val="single" w:sz="4" w:space="0" w:color="auto"/>
            </w:tcBorders>
            <w:shd w:val="clear" w:color="auto" w:fill="auto"/>
            <w:tcMar>
              <w:top w:w="0" w:type="dxa"/>
              <w:left w:w="108" w:type="dxa"/>
              <w:bottom w:w="0" w:type="dxa"/>
              <w:right w:w="108" w:type="dxa"/>
            </w:tcMar>
            <w:hideMark/>
          </w:tcPr>
          <w:p w:rsidR="00475A56" w:rsidRPr="00475A56" w:rsidRDefault="00475A56" w:rsidP="00475A56">
            <w:pPr>
              <w:spacing w:after="0" w:line="216" w:lineRule="atLeast"/>
              <w:jc w:val="right"/>
              <w:rPr>
                <w:rFonts w:eastAsia="Times New Roman" w:cs="Times New Roman"/>
                <w:sz w:val="24"/>
                <w:szCs w:val="24"/>
              </w:rPr>
            </w:pPr>
            <w:r w:rsidRPr="00475A56">
              <w:rPr>
                <w:rFonts w:eastAsia="Times New Roman" w:cs="Times New Roman"/>
                <w:sz w:val="18"/>
                <w:szCs w:val="18"/>
              </w:rPr>
              <w:t>14,17</w:t>
            </w:r>
          </w:p>
        </w:tc>
        <w:tc>
          <w:tcPr>
            <w:tcW w:w="1008" w:type="dxa"/>
            <w:tcBorders>
              <w:top w:val="nil"/>
              <w:left w:val="nil"/>
              <w:bottom w:val="single" w:sz="4" w:space="0" w:color="auto"/>
              <w:right w:val="single" w:sz="4" w:space="0" w:color="auto"/>
            </w:tcBorders>
            <w:shd w:val="clear" w:color="auto" w:fill="auto"/>
            <w:tcMar>
              <w:top w:w="0" w:type="dxa"/>
              <w:left w:w="108" w:type="dxa"/>
              <w:bottom w:w="0" w:type="dxa"/>
              <w:right w:w="108" w:type="dxa"/>
            </w:tcMar>
            <w:hideMark/>
          </w:tcPr>
          <w:p w:rsidR="00475A56" w:rsidRPr="00475A56" w:rsidRDefault="00475A56" w:rsidP="00475A56">
            <w:pPr>
              <w:spacing w:after="0" w:line="216" w:lineRule="atLeast"/>
              <w:jc w:val="right"/>
              <w:rPr>
                <w:rFonts w:eastAsia="Times New Roman" w:cs="Times New Roman"/>
                <w:sz w:val="24"/>
                <w:szCs w:val="24"/>
              </w:rPr>
            </w:pPr>
            <w:r w:rsidRPr="00475A56">
              <w:rPr>
                <w:rFonts w:eastAsia="Times New Roman" w:cs="Times New Roman"/>
                <w:sz w:val="18"/>
                <w:szCs w:val="18"/>
                <w:lang w:val="pt-PT"/>
              </w:rPr>
              <w:t>35,97</w:t>
            </w:r>
          </w:p>
        </w:tc>
        <w:tc>
          <w:tcPr>
            <w:tcW w:w="1872" w:type="dxa"/>
            <w:tcBorders>
              <w:top w:val="nil"/>
              <w:left w:val="nil"/>
              <w:bottom w:val="single" w:sz="4" w:space="0" w:color="auto"/>
              <w:right w:val="single" w:sz="4" w:space="0" w:color="auto"/>
            </w:tcBorders>
            <w:shd w:val="clear" w:color="auto" w:fill="auto"/>
            <w:tcMar>
              <w:top w:w="0" w:type="dxa"/>
              <w:left w:w="108" w:type="dxa"/>
              <w:bottom w:w="0" w:type="dxa"/>
              <w:right w:w="108" w:type="dxa"/>
            </w:tcMar>
            <w:hideMark/>
          </w:tcPr>
          <w:p w:rsidR="00475A56" w:rsidRPr="00475A56" w:rsidRDefault="00475A56" w:rsidP="00475A56">
            <w:pPr>
              <w:spacing w:after="0" w:line="216" w:lineRule="atLeast"/>
              <w:jc w:val="right"/>
              <w:rPr>
                <w:rFonts w:eastAsia="Times New Roman" w:cs="Times New Roman"/>
                <w:sz w:val="24"/>
                <w:szCs w:val="24"/>
              </w:rPr>
            </w:pPr>
            <w:r w:rsidRPr="00475A56">
              <w:rPr>
                <w:rFonts w:eastAsia="Times New Roman" w:cs="Times New Roman"/>
                <w:sz w:val="18"/>
                <w:szCs w:val="18"/>
                <w:lang w:val="pt-PT"/>
              </w:rPr>
              <w:t>96,4</w:t>
            </w:r>
          </w:p>
        </w:tc>
      </w:tr>
    </w:tbl>
    <w:p w:rsidR="00475A56" w:rsidRPr="00475A56" w:rsidRDefault="00475A56" w:rsidP="00475A56">
      <w:pPr>
        <w:spacing w:after="0" w:line="216" w:lineRule="atLeast"/>
        <w:jc w:val="right"/>
        <w:rPr>
          <w:rFonts w:ascii="Arial" w:eastAsia="Times New Roman" w:hAnsi="Arial" w:cs="Arial"/>
          <w:color w:val="494949"/>
          <w:sz w:val="18"/>
          <w:szCs w:val="18"/>
        </w:rPr>
      </w:pPr>
      <w:r w:rsidRPr="00475A56">
        <w:rPr>
          <w:rFonts w:ascii="Arial" w:eastAsia="Times New Roman" w:hAnsi="Arial" w:cs="Arial"/>
          <w:i/>
          <w:iCs/>
          <w:color w:val="494949"/>
          <w:sz w:val="18"/>
          <w:szCs w:val="18"/>
        </w:rPr>
        <w:t>Nguồn Tổng cục Hải quan Việt Nam</w:t>
      </w:r>
    </w:p>
    <w:p w:rsidR="00475A56" w:rsidRPr="00475A56" w:rsidRDefault="00475A56" w:rsidP="00475A56">
      <w:pPr>
        <w:spacing w:after="0" w:line="216" w:lineRule="atLeast"/>
        <w:ind w:firstLine="720"/>
        <w:jc w:val="both"/>
        <w:rPr>
          <w:rFonts w:ascii="Arial" w:eastAsia="Times New Roman" w:hAnsi="Arial" w:cs="Arial"/>
          <w:color w:val="494949"/>
          <w:sz w:val="18"/>
          <w:szCs w:val="18"/>
        </w:rPr>
      </w:pPr>
      <w:r w:rsidRPr="00475A56">
        <w:rPr>
          <w:rFonts w:ascii="Arial" w:eastAsia="Times New Roman" w:hAnsi="Arial" w:cs="Arial"/>
          <w:color w:val="494949"/>
          <w:sz w:val="18"/>
          <w:szCs w:val="18"/>
        </w:rPr>
        <w:t>Kim ngạch xuất nhập khẩu vẫn tăng đều qua các năm nhưng đến năm 2004 có sự phát triển đáng kể, từ 9,661 triệu USD năm 2003 lên 40,908 triệu USD, trong đó chủ yếu là mặt hàng gạo với giá trị đạt hơn 31 triệu USD, tương đương 95% tổng kim ngạch xuất khẩu, còn trong cơ cấu hàng nhập khẩu của Việt Nam thì hạt điều vẫn luôn là mặt hàng chính, chiếm 72% tổng kim ngạch nhập khẩu.</w:t>
      </w:r>
    </w:p>
    <w:p w:rsidR="00475A56" w:rsidRPr="00475A56" w:rsidRDefault="00475A56" w:rsidP="00475A56">
      <w:pPr>
        <w:spacing w:after="0" w:line="216" w:lineRule="atLeast"/>
        <w:ind w:firstLine="720"/>
        <w:jc w:val="both"/>
        <w:rPr>
          <w:rFonts w:ascii="Arial" w:eastAsia="Times New Roman" w:hAnsi="Arial" w:cs="Arial"/>
          <w:color w:val="494949"/>
          <w:sz w:val="18"/>
          <w:szCs w:val="18"/>
        </w:rPr>
      </w:pPr>
      <w:r w:rsidRPr="00475A56">
        <w:rPr>
          <w:rFonts w:ascii="Arial" w:eastAsia="Times New Roman" w:hAnsi="Arial" w:cs="Arial"/>
          <w:color w:val="494949"/>
          <w:sz w:val="18"/>
          <w:szCs w:val="18"/>
        </w:rPr>
        <w:t>Năm 2005 là năm trao đổi thương mại tăng mạnh (125%) và đạt giá trị hơn 93 triệu USD, trong đó Việt Nam xuất khẩu 81,1 triệu USD và nhập khẩu 12,8 triệu USD.</w:t>
      </w:r>
    </w:p>
    <w:p w:rsidR="00475A56" w:rsidRPr="00475A56" w:rsidRDefault="00475A56" w:rsidP="00475A56">
      <w:pPr>
        <w:spacing w:line="216" w:lineRule="atLeast"/>
        <w:ind w:firstLine="720"/>
        <w:jc w:val="both"/>
        <w:rPr>
          <w:rFonts w:ascii="Arial" w:eastAsia="Times New Roman" w:hAnsi="Arial" w:cs="Arial"/>
          <w:color w:val="494949"/>
          <w:sz w:val="18"/>
          <w:szCs w:val="18"/>
        </w:rPr>
      </w:pPr>
      <w:r w:rsidRPr="00475A56">
        <w:rPr>
          <w:rFonts w:ascii="Arial" w:eastAsia="Times New Roman" w:hAnsi="Arial" w:cs="Arial"/>
          <w:color w:val="494949"/>
          <w:sz w:val="18"/>
          <w:szCs w:val="18"/>
        </w:rPr>
        <w:t xml:space="preserve">Tuy nhiên, trao đổi thương mại giữa Việt Nam và Côte d’Ivoire không đều. Năm 2007, kim ngạch xuất khẩu giảm 9% so với năm 2006 và đạt xấp xỉ 50 triệu USD. Mặt hàng xuất khẩu chính vẫn là gạo (chiếm 91%), sau đó là sắt thép các loại. Trong khi đó nhập khẩu từ Côte d’Ivoire lại tăng nhanh (145%) và đạt giá trị gần 36 triệu </w:t>
      </w:r>
      <w:r w:rsidRPr="00475A56">
        <w:rPr>
          <w:rFonts w:ascii="Arial" w:eastAsia="Times New Roman" w:hAnsi="Arial" w:cs="Arial"/>
          <w:color w:val="494949"/>
          <w:sz w:val="18"/>
          <w:szCs w:val="18"/>
        </w:rPr>
        <w:lastRenderedPageBreak/>
        <w:t>USD. Việt Nam nhập chủ yếu các mặt hàng hạt điều (12,8 triệu USD), bông các loại (7,8 triệu USD), gỗ và sản phẩm gỗ (6,8 triệu USD)…</w:t>
      </w:r>
    </w:p>
    <w:p w:rsidR="002F7A62" w:rsidRPr="00475A56" w:rsidRDefault="002F7A62" w:rsidP="00475A56">
      <w:bookmarkStart w:id="0" w:name="_GoBack"/>
      <w:bookmarkEnd w:id="0"/>
    </w:p>
    <w:sectPr w:rsidR="002F7A62" w:rsidRPr="00475A56"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997"/>
    <w:rsid w:val="002F7A62"/>
    <w:rsid w:val="003740F2"/>
    <w:rsid w:val="00475A56"/>
    <w:rsid w:val="00607E9C"/>
    <w:rsid w:val="006359F8"/>
    <w:rsid w:val="00796740"/>
    <w:rsid w:val="00CF3997"/>
    <w:rsid w:val="00DB39A0"/>
    <w:rsid w:val="00FE3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901A3F-20E6-4A36-AE17-E6C74EF13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399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CF3997"/>
    <w:rPr>
      <w:i/>
      <w:iCs/>
    </w:rPr>
  </w:style>
  <w:style w:type="character" w:styleId="Strong">
    <w:name w:val="Strong"/>
    <w:basedOn w:val="DefaultParagraphFont"/>
    <w:uiPriority w:val="22"/>
    <w:qFormat/>
    <w:rsid w:val="006359F8"/>
    <w:rPr>
      <w:b/>
      <w:bCs/>
    </w:rPr>
  </w:style>
  <w:style w:type="character" w:styleId="Hyperlink">
    <w:name w:val="Hyperlink"/>
    <w:basedOn w:val="DefaultParagraphFont"/>
    <w:uiPriority w:val="99"/>
    <w:semiHidden/>
    <w:unhideWhenUsed/>
    <w:rsid w:val="00607E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002625">
      <w:bodyDiv w:val="1"/>
      <w:marLeft w:val="0"/>
      <w:marRight w:val="0"/>
      <w:marTop w:val="0"/>
      <w:marBottom w:val="0"/>
      <w:divBdr>
        <w:top w:val="none" w:sz="0" w:space="0" w:color="auto"/>
        <w:left w:val="none" w:sz="0" w:space="0" w:color="auto"/>
        <w:bottom w:val="none" w:sz="0" w:space="0" w:color="auto"/>
        <w:right w:val="none" w:sz="0" w:space="0" w:color="auto"/>
      </w:divBdr>
      <w:divsChild>
        <w:div w:id="1161432670">
          <w:marLeft w:val="0"/>
          <w:marRight w:val="0"/>
          <w:marTop w:val="0"/>
          <w:marBottom w:val="150"/>
          <w:divBdr>
            <w:top w:val="none" w:sz="0" w:space="0" w:color="auto"/>
            <w:left w:val="none" w:sz="0" w:space="0" w:color="auto"/>
            <w:bottom w:val="none" w:sz="0" w:space="0" w:color="auto"/>
            <w:right w:val="none" w:sz="0" w:space="0" w:color="auto"/>
          </w:divBdr>
        </w:div>
        <w:div w:id="844319349">
          <w:marLeft w:val="0"/>
          <w:marRight w:val="0"/>
          <w:marTop w:val="0"/>
          <w:marBottom w:val="300"/>
          <w:divBdr>
            <w:top w:val="none" w:sz="0" w:space="0" w:color="auto"/>
            <w:left w:val="none" w:sz="0" w:space="0" w:color="auto"/>
            <w:bottom w:val="none" w:sz="0" w:space="0" w:color="auto"/>
            <w:right w:val="none" w:sz="0" w:space="0" w:color="auto"/>
          </w:divBdr>
        </w:div>
      </w:divsChild>
    </w:div>
    <w:div w:id="410542198">
      <w:bodyDiv w:val="1"/>
      <w:marLeft w:val="0"/>
      <w:marRight w:val="0"/>
      <w:marTop w:val="0"/>
      <w:marBottom w:val="0"/>
      <w:divBdr>
        <w:top w:val="none" w:sz="0" w:space="0" w:color="auto"/>
        <w:left w:val="none" w:sz="0" w:space="0" w:color="auto"/>
        <w:bottom w:val="none" w:sz="0" w:space="0" w:color="auto"/>
        <w:right w:val="none" w:sz="0" w:space="0" w:color="auto"/>
      </w:divBdr>
      <w:divsChild>
        <w:div w:id="1188715981">
          <w:marLeft w:val="0"/>
          <w:marRight w:val="0"/>
          <w:marTop w:val="0"/>
          <w:marBottom w:val="150"/>
          <w:divBdr>
            <w:top w:val="none" w:sz="0" w:space="0" w:color="auto"/>
            <w:left w:val="none" w:sz="0" w:space="0" w:color="auto"/>
            <w:bottom w:val="none" w:sz="0" w:space="0" w:color="auto"/>
            <w:right w:val="none" w:sz="0" w:space="0" w:color="auto"/>
          </w:divBdr>
        </w:div>
        <w:div w:id="168713980">
          <w:marLeft w:val="0"/>
          <w:marRight w:val="0"/>
          <w:marTop w:val="0"/>
          <w:marBottom w:val="300"/>
          <w:divBdr>
            <w:top w:val="none" w:sz="0" w:space="0" w:color="auto"/>
            <w:left w:val="none" w:sz="0" w:space="0" w:color="auto"/>
            <w:bottom w:val="none" w:sz="0" w:space="0" w:color="auto"/>
            <w:right w:val="none" w:sz="0" w:space="0" w:color="auto"/>
          </w:divBdr>
        </w:div>
      </w:divsChild>
    </w:div>
    <w:div w:id="663780780">
      <w:bodyDiv w:val="1"/>
      <w:marLeft w:val="0"/>
      <w:marRight w:val="0"/>
      <w:marTop w:val="0"/>
      <w:marBottom w:val="0"/>
      <w:divBdr>
        <w:top w:val="none" w:sz="0" w:space="0" w:color="auto"/>
        <w:left w:val="none" w:sz="0" w:space="0" w:color="auto"/>
        <w:bottom w:val="none" w:sz="0" w:space="0" w:color="auto"/>
        <w:right w:val="none" w:sz="0" w:space="0" w:color="auto"/>
      </w:divBdr>
      <w:divsChild>
        <w:div w:id="152379636">
          <w:marLeft w:val="0"/>
          <w:marRight w:val="0"/>
          <w:marTop w:val="0"/>
          <w:marBottom w:val="150"/>
          <w:divBdr>
            <w:top w:val="none" w:sz="0" w:space="0" w:color="auto"/>
            <w:left w:val="none" w:sz="0" w:space="0" w:color="auto"/>
            <w:bottom w:val="none" w:sz="0" w:space="0" w:color="auto"/>
            <w:right w:val="none" w:sz="0" w:space="0" w:color="auto"/>
          </w:divBdr>
        </w:div>
        <w:div w:id="952789717">
          <w:marLeft w:val="0"/>
          <w:marRight w:val="0"/>
          <w:marTop w:val="0"/>
          <w:marBottom w:val="300"/>
          <w:divBdr>
            <w:top w:val="none" w:sz="0" w:space="0" w:color="auto"/>
            <w:left w:val="none" w:sz="0" w:space="0" w:color="auto"/>
            <w:bottom w:val="none" w:sz="0" w:space="0" w:color="auto"/>
            <w:right w:val="none" w:sz="0" w:space="0" w:color="auto"/>
          </w:divBdr>
        </w:div>
      </w:divsChild>
    </w:div>
    <w:div w:id="821779563">
      <w:bodyDiv w:val="1"/>
      <w:marLeft w:val="0"/>
      <w:marRight w:val="0"/>
      <w:marTop w:val="0"/>
      <w:marBottom w:val="0"/>
      <w:divBdr>
        <w:top w:val="none" w:sz="0" w:space="0" w:color="auto"/>
        <w:left w:val="none" w:sz="0" w:space="0" w:color="auto"/>
        <w:bottom w:val="none" w:sz="0" w:space="0" w:color="auto"/>
        <w:right w:val="none" w:sz="0" w:space="0" w:color="auto"/>
      </w:divBdr>
      <w:divsChild>
        <w:div w:id="57243487">
          <w:marLeft w:val="0"/>
          <w:marRight w:val="0"/>
          <w:marTop w:val="0"/>
          <w:marBottom w:val="150"/>
          <w:divBdr>
            <w:top w:val="none" w:sz="0" w:space="0" w:color="auto"/>
            <w:left w:val="none" w:sz="0" w:space="0" w:color="auto"/>
            <w:bottom w:val="none" w:sz="0" w:space="0" w:color="auto"/>
            <w:right w:val="none" w:sz="0" w:space="0" w:color="auto"/>
          </w:divBdr>
        </w:div>
        <w:div w:id="570888718">
          <w:marLeft w:val="0"/>
          <w:marRight w:val="0"/>
          <w:marTop w:val="0"/>
          <w:marBottom w:val="300"/>
          <w:divBdr>
            <w:top w:val="none" w:sz="0" w:space="0" w:color="auto"/>
            <w:left w:val="none" w:sz="0" w:space="0" w:color="auto"/>
            <w:bottom w:val="none" w:sz="0" w:space="0" w:color="auto"/>
            <w:right w:val="none" w:sz="0" w:space="0" w:color="auto"/>
          </w:divBdr>
        </w:div>
      </w:divsChild>
    </w:div>
    <w:div w:id="1620408203">
      <w:bodyDiv w:val="1"/>
      <w:marLeft w:val="0"/>
      <w:marRight w:val="0"/>
      <w:marTop w:val="0"/>
      <w:marBottom w:val="0"/>
      <w:divBdr>
        <w:top w:val="none" w:sz="0" w:space="0" w:color="auto"/>
        <w:left w:val="none" w:sz="0" w:space="0" w:color="auto"/>
        <w:bottom w:val="none" w:sz="0" w:space="0" w:color="auto"/>
        <w:right w:val="none" w:sz="0" w:space="0" w:color="auto"/>
      </w:divBdr>
      <w:divsChild>
        <w:div w:id="929046053">
          <w:marLeft w:val="0"/>
          <w:marRight w:val="0"/>
          <w:marTop w:val="0"/>
          <w:marBottom w:val="150"/>
          <w:divBdr>
            <w:top w:val="none" w:sz="0" w:space="0" w:color="auto"/>
            <w:left w:val="none" w:sz="0" w:space="0" w:color="auto"/>
            <w:bottom w:val="none" w:sz="0" w:space="0" w:color="auto"/>
            <w:right w:val="none" w:sz="0" w:space="0" w:color="auto"/>
          </w:divBdr>
        </w:div>
        <w:div w:id="1797067459">
          <w:marLeft w:val="0"/>
          <w:marRight w:val="0"/>
          <w:marTop w:val="0"/>
          <w:marBottom w:val="300"/>
          <w:divBdr>
            <w:top w:val="none" w:sz="0" w:space="0" w:color="auto"/>
            <w:left w:val="none" w:sz="0" w:space="0" w:color="auto"/>
            <w:bottom w:val="none" w:sz="0" w:space="0" w:color="auto"/>
            <w:right w:val="none" w:sz="0" w:space="0" w:color="auto"/>
          </w:divBdr>
          <w:divsChild>
            <w:div w:id="24924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18409">
      <w:bodyDiv w:val="1"/>
      <w:marLeft w:val="0"/>
      <w:marRight w:val="0"/>
      <w:marTop w:val="0"/>
      <w:marBottom w:val="0"/>
      <w:divBdr>
        <w:top w:val="none" w:sz="0" w:space="0" w:color="auto"/>
        <w:left w:val="none" w:sz="0" w:space="0" w:color="auto"/>
        <w:bottom w:val="none" w:sz="0" w:space="0" w:color="auto"/>
        <w:right w:val="none" w:sz="0" w:space="0" w:color="auto"/>
      </w:divBdr>
      <w:divsChild>
        <w:div w:id="978388745">
          <w:marLeft w:val="0"/>
          <w:marRight w:val="0"/>
          <w:marTop w:val="0"/>
          <w:marBottom w:val="150"/>
          <w:divBdr>
            <w:top w:val="none" w:sz="0" w:space="0" w:color="auto"/>
            <w:left w:val="none" w:sz="0" w:space="0" w:color="auto"/>
            <w:bottom w:val="none" w:sz="0" w:space="0" w:color="auto"/>
            <w:right w:val="none" w:sz="0" w:space="0" w:color="auto"/>
          </w:divBdr>
        </w:div>
        <w:div w:id="2142334873">
          <w:marLeft w:val="0"/>
          <w:marRight w:val="0"/>
          <w:marTop w:val="0"/>
          <w:marBottom w:val="300"/>
          <w:divBdr>
            <w:top w:val="none" w:sz="0" w:space="0" w:color="auto"/>
            <w:left w:val="none" w:sz="0" w:space="0" w:color="auto"/>
            <w:bottom w:val="none" w:sz="0" w:space="0" w:color="auto"/>
            <w:right w:val="none" w:sz="0" w:space="0" w:color="auto"/>
          </w:divBdr>
        </w:div>
      </w:divsChild>
    </w:div>
    <w:div w:id="2052992013">
      <w:bodyDiv w:val="1"/>
      <w:marLeft w:val="0"/>
      <w:marRight w:val="0"/>
      <w:marTop w:val="0"/>
      <w:marBottom w:val="0"/>
      <w:divBdr>
        <w:top w:val="none" w:sz="0" w:space="0" w:color="auto"/>
        <w:left w:val="none" w:sz="0" w:space="0" w:color="auto"/>
        <w:bottom w:val="none" w:sz="0" w:space="0" w:color="auto"/>
        <w:right w:val="none" w:sz="0" w:space="0" w:color="auto"/>
      </w:divBdr>
      <w:divsChild>
        <w:div w:id="42678613">
          <w:marLeft w:val="0"/>
          <w:marRight w:val="0"/>
          <w:marTop w:val="0"/>
          <w:marBottom w:val="150"/>
          <w:divBdr>
            <w:top w:val="none" w:sz="0" w:space="0" w:color="auto"/>
            <w:left w:val="none" w:sz="0" w:space="0" w:color="auto"/>
            <w:bottom w:val="none" w:sz="0" w:space="0" w:color="auto"/>
            <w:right w:val="none" w:sz="0" w:space="0" w:color="auto"/>
          </w:divBdr>
        </w:div>
        <w:div w:id="204593509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858</Words>
  <Characters>4892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2022-09-04T03:33:00Z</dcterms:created>
  <dcterms:modified xsi:type="dcterms:W3CDTF">2022-09-04T03:33:00Z</dcterms:modified>
</cp:coreProperties>
</file>