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CDC" w:rsidRDefault="00A37AB8" w:rsidP="004B7EE3">
      <w:pPr>
        <w:jc w:val="center"/>
        <w:rPr>
          <w:b/>
          <w:sz w:val="28"/>
          <w:szCs w:val="28"/>
          <w:lang w:val="en-US"/>
        </w:rPr>
      </w:pPr>
      <w:r w:rsidRPr="004B7EE3">
        <w:rPr>
          <w:b/>
          <w:sz w:val="28"/>
          <w:szCs w:val="28"/>
          <w:lang w:val="en-US"/>
        </w:rPr>
        <w:t>FTA: cơ hội gia tăng hội nhập kinh tế quốc tế của Thổ Nhĩ Kỳ</w:t>
      </w:r>
    </w:p>
    <w:p w:rsidR="00373B07" w:rsidRPr="004B7EE3" w:rsidRDefault="00373B07" w:rsidP="004B7EE3">
      <w:pPr>
        <w:jc w:val="center"/>
        <w:rPr>
          <w:b/>
          <w:sz w:val="28"/>
          <w:szCs w:val="28"/>
          <w:lang w:val="en-US"/>
        </w:rPr>
      </w:pPr>
    </w:p>
    <w:p w:rsidR="00A37AB8" w:rsidRDefault="00A37AB8" w:rsidP="004B7EE3">
      <w:pPr>
        <w:jc w:val="both"/>
        <w:rPr>
          <w:sz w:val="28"/>
          <w:szCs w:val="28"/>
          <w:lang w:val="en-US"/>
        </w:rPr>
      </w:pPr>
    </w:p>
    <w:p w:rsidR="00A37AB8" w:rsidRDefault="008C0314" w:rsidP="004B7EE3">
      <w:pPr>
        <w:jc w:val="both"/>
        <w:rPr>
          <w:sz w:val="28"/>
          <w:szCs w:val="28"/>
          <w:lang w:val="en-US"/>
        </w:rPr>
      </w:pPr>
      <w:r>
        <w:rPr>
          <w:sz w:val="28"/>
          <w:szCs w:val="28"/>
          <w:lang w:val="en-US"/>
        </w:rPr>
        <w:tab/>
      </w:r>
      <w:r w:rsidR="00A37AB8">
        <w:rPr>
          <w:sz w:val="28"/>
          <w:szCs w:val="28"/>
          <w:lang w:val="en-US"/>
        </w:rPr>
        <w:t>Do các cuộc đàm phán trong khuôn khổ Vòng Doha của Tổ chức thương mại thế giới</w:t>
      </w:r>
      <w:r w:rsidR="00373B07">
        <w:rPr>
          <w:sz w:val="28"/>
          <w:szCs w:val="28"/>
          <w:lang w:val="en-US"/>
        </w:rPr>
        <w:t xml:space="preserve"> (WTO)</w:t>
      </w:r>
      <w:r w:rsidR="00A37AB8">
        <w:rPr>
          <w:sz w:val="28"/>
          <w:szCs w:val="28"/>
          <w:lang w:val="en-US"/>
        </w:rPr>
        <w:t xml:space="preserve"> gặp nhiều khó khăn, một số nước</w:t>
      </w:r>
      <w:r w:rsidR="00B83D1A">
        <w:rPr>
          <w:sz w:val="28"/>
          <w:szCs w:val="28"/>
          <w:lang w:val="en-US"/>
        </w:rPr>
        <w:t xml:space="preserve"> hoặc nhóm nước</w:t>
      </w:r>
      <w:r w:rsidR="00A37AB8">
        <w:rPr>
          <w:sz w:val="28"/>
          <w:szCs w:val="28"/>
          <w:lang w:val="en-US"/>
        </w:rPr>
        <w:t xml:space="preserve"> chuyển sang đàm phán các hiệp định khu vực thương mại t</w:t>
      </w:r>
      <w:r w:rsidR="00B83D1A">
        <w:rPr>
          <w:sz w:val="28"/>
          <w:szCs w:val="28"/>
          <w:lang w:val="en-US"/>
        </w:rPr>
        <w:t>ự do (FTA) song phương hoặc</w:t>
      </w:r>
      <w:r w:rsidR="00A37AB8">
        <w:rPr>
          <w:sz w:val="28"/>
          <w:szCs w:val="28"/>
          <w:lang w:val="en-US"/>
        </w:rPr>
        <w:t xml:space="preserve"> đa phương.</w:t>
      </w:r>
    </w:p>
    <w:p w:rsidR="00B83D1A" w:rsidRDefault="00B83D1A" w:rsidP="004B7EE3">
      <w:pPr>
        <w:jc w:val="both"/>
        <w:rPr>
          <w:sz w:val="28"/>
          <w:szCs w:val="28"/>
          <w:lang w:val="en-US"/>
        </w:rPr>
      </w:pPr>
    </w:p>
    <w:p w:rsidR="00B83D1A" w:rsidRDefault="008C0314" w:rsidP="004B7EE3">
      <w:pPr>
        <w:jc w:val="both"/>
        <w:rPr>
          <w:sz w:val="28"/>
          <w:szCs w:val="28"/>
          <w:lang w:val="en-US"/>
        </w:rPr>
      </w:pPr>
      <w:r>
        <w:rPr>
          <w:sz w:val="28"/>
          <w:szCs w:val="28"/>
          <w:lang w:val="en-US"/>
        </w:rPr>
        <w:tab/>
      </w:r>
      <w:proofErr w:type="gramStart"/>
      <w:r w:rsidR="00B83D1A">
        <w:rPr>
          <w:sz w:val="28"/>
          <w:szCs w:val="28"/>
          <w:lang w:val="en-US"/>
        </w:rPr>
        <w:t>Thổ Nhĩ Kỳ đã ký FTA với 1</w:t>
      </w:r>
      <w:r w:rsidR="00373B07">
        <w:rPr>
          <w:sz w:val="28"/>
          <w:szCs w:val="28"/>
          <w:lang w:val="en-US"/>
        </w:rPr>
        <w:t>9 nước và khu vực và các FTA</w:t>
      </w:r>
      <w:r w:rsidR="00B83D1A">
        <w:rPr>
          <w:sz w:val="28"/>
          <w:szCs w:val="28"/>
          <w:lang w:val="en-US"/>
        </w:rPr>
        <w:t xml:space="preserve"> mang lại cho nước này những cơ hội mới, thuận lợi mới về thương mại.</w:t>
      </w:r>
      <w:proofErr w:type="gramEnd"/>
      <w:r w:rsidR="00B83D1A">
        <w:rPr>
          <w:sz w:val="28"/>
          <w:szCs w:val="28"/>
          <w:lang w:val="en-US"/>
        </w:rPr>
        <w:t xml:space="preserve"> </w:t>
      </w:r>
      <w:proofErr w:type="gramStart"/>
      <w:r w:rsidR="00B83D1A">
        <w:rPr>
          <w:sz w:val="28"/>
          <w:szCs w:val="28"/>
          <w:lang w:val="en-US"/>
        </w:rPr>
        <w:t xml:space="preserve">Trong giai đoạn 2000 – 2012, xuất khẩu tổng thể của Thổ Nhĩ Kỳ tăng 446%, trong khi xuất khẩu với các nước </w:t>
      </w:r>
      <w:r w:rsidR="00D2470A">
        <w:rPr>
          <w:sz w:val="28"/>
          <w:szCs w:val="28"/>
          <w:lang w:val="en-US"/>
        </w:rPr>
        <w:t xml:space="preserve">đã </w:t>
      </w:r>
      <w:r w:rsidR="00B83D1A">
        <w:rPr>
          <w:sz w:val="28"/>
          <w:szCs w:val="28"/>
          <w:lang w:val="en-US"/>
        </w:rPr>
        <w:t>ký FTA tăng 551%.</w:t>
      </w:r>
      <w:proofErr w:type="gramEnd"/>
      <w:r w:rsidR="00B83D1A">
        <w:rPr>
          <w:sz w:val="28"/>
          <w:szCs w:val="28"/>
          <w:lang w:val="en-US"/>
        </w:rPr>
        <w:t xml:space="preserve"> Năm 2000, Thổ Nhĩ Kỳ xuất khẩu sang c</w:t>
      </w:r>
      <w:r w:rsidR="00D2470A">
        <w:rPr>
          <w:sz w:val="28"/>
          <w:szCs w:val="28"/>
          <w:lang w:val="en-US"/>
        </w:rPr>
        <w:t>ác nước và khu vực đã ký FTA</w:t>
      </w:r>
      <w:r w:rsidR="00B83D1A">
        <w:rPr>
          <w:sz w:val="28"/>
          <w:szCs w:val="28"/>
          <w:lang w:val="en-US"/>
        </w:rPr>
        <w:t xml:space="preserve"> 2</w:t>
      </w:r>
      <w:proofErr w:type="gramStart"/>
      <w:r w:rsidR="00B83D1A">
        <w:rPr>
          <w:sz w:val="28"/>
          <w:szCs w:val="28"/>
          <w:lang w:val="en-US"/>
        </w:rPr>
        <w:t>,2</w:t>
      </w:r>
      <w:proofErr w:type="gramEnd"/>
      <w:r w:rsidR="00B83D1A">
        <w:rPr>
          <w:sz w:val="28"/>
          <w:szCs w:val="28"/>
          <w:lang w:val="en-US"/>
        </w:rPr>
        <w:t xml:space="preserve"> tỷ USD, trong khi đó con số này năm 2012 là 14,5 tỷ USD.</w:t>
      </w:r>
    </w:p>
    <w:p w:rsidR="00CB5402" w:rsidRDefault="00CB5402" w:rsidP="004B7EE3">
      <w:pPr>
        <w:jc w:val="both"/>
        <w:rPr>
          <w:sz w:val="28"/>
          <w:szCs w:val="28"/>
          <w:lang w:val="en-US"/>
        </w:rPr>
      </w:pPr>
    </w:p>
    <w:p w:rsidR="00CB5402" w:rsidRDefault="008C0314" w:rsidP="004B7EE3">
      <w:pPr>
        <w:jc w:val="both"/>
        <w:rPr>
          <w:sz w:val="28"/>
          <w:szCs w:val="28"/>
          <w:lang w:val="en-US"/>
        </w:rPr>
      </w:pPr>
      <w:r>
        <w:rPr>
          <w:sz w:val="28"/>
          <w:szCs w:val="28"/>
          <w:lang w:val="en-US"/>
        </w:rPr>
        <w:tab/>
      </w:r>
      <w:r w:rsidR="00CB5402">
        <w:rPr>
          <w:sz w:val="28"/>
          <w:szCs w:val="28"/>
          <w:lang w:val="en-US"/>
        </w:rPr>
        <w:t>Đối với nhập khẩu trong cùng giai đoạn trên, tổng trị giá  nhập khẩu đã tăng 340%, trong khi nhập khẩu từ các nước đã ký FTA chỉ tăng 280%, trị giá từ 2,8 tỷ USD năm 2000 lên 10,7 tỷ USD năm 2012.</w:t>
      </w:r>
    </w:p>
    <w:p w:rsidR="00B70062" w:rsidRPr="00373B07" w:rsidRDefault="00B70062" w:rsidP="00B70062">
      <w:pPr>
        <w:pStyle w:val="NormalWeb"/>
        <w:shd w:val="clear" w:color="auto" w:fill="FFFFFF"/>
        <w:jc w:val="both"/>
        <w:rPr>
          <w:lang/>
        </w:rPr>
      </w:pPr>
      <w:r>
        <w:rPr>
          <w:sz w:val="28"/>
          <w:szCs w:val="28"/>
        </w:rPr>
        <w:tab/>
        <w:t>Thực ra, Thổ Nhĩ Kỳ đã ký FTA với 29 nước, trong đó 10 nước đã gia nhập EU. Hiện nay, Thổ Nhĩ Kỳ có 16 FTA đang có hiệu lực: EFTA</w:t>
      </w:r>
      <w:r w:rsidR="002759C0">
        <w:rPr>
          <w:sz w:val="28"/>
          <w:szCs w:val="28"/>
        </w:rPr>
        <w:t xml:space="preserve"> </w:t>
      </w:r>
      <w:r w:rsidR="002759C0" w:rsidRPr="00373B07">
        <w:rPr>
          <w:sz w:val="28"/>
          <w:szCs w:val="28"/>
        </w:rPr>
        <w:t>(</w:t>
      </w:r>
      <w:hyperlink r:id="rId6" w:tooltip="Liechtenstein" w:history="1">
        <w:r w:rsidR="00373B07" w:rsidRPr="00373B07">
          <w:rPr>
            <w:rStyle w:val="Hyperlink"/>
            <w:color w:val="auto"/>
            <w:sz w:val="28"/>
            <w:szCs w:val="28"/>
            <w:u w:val="none"/>
            <w:lang/>
          </w:rPr>
          <w:t>Liechtenstein</w:t>
        </w:r>
      </w:hyperlink>
      <w:r w:rsidR="00373B07" w:rsidRPr="00373B07">
        <w:rPr>
          <w:sz w:val="28"/>
          <w:szCs w:val="28"/>
          <w:lang/>
        </w:rPr>
        <w:t xml:space="preserve">, </w:t>
      </w:r>
      <w:hyperlink r:id="rId7" w:tooltip="Iceland" w:history="1">
        <w:r w:rsidR="00373B07" w:rsidRPr="00373B07">
          <w:rPr>
            <w:rStyle w:val="Hyperlink"/>
            <w:color w:val="auto"/>
            <w:sz w:val="28"/>
            <w:szCs w:val="28"/>
            <w:u w:val="none"/>
            <w:lang/>
          </w:rPr>
          <w:t>Iceland</w:t>
        </w:r>
      </w:hyperlink>
      <w:r w:rsidR="00373B07" w:rsidRPr="00373B07">
        <w:rPr>
          <w:sz w:val="28"/>
          <w:szCs w:val="28"/>
          <w:lang/>
        </w:rPr>
        <w:t>, Na Uy và Thụy Sỹ)</w:t>
      </w:r>
      <w:r w:rsidRPr="00373B07">
        <w:rPr>
          <w:sz w:val="28"/>
          <w:szCs w:val="28"/>
        </w:rPr>
        <w:t xml:space="preserve">; </w:t>
      </w:r>
      <w:r>
        <w:rPr>
          <w:sz w:val="28"/>
          <w:szCs w:val="28"/>
        </w:rPr>
        <w:t>Macedonia; Croatia; Bosnia-Herzegovina; Albania; Israel; Palestine; Morocco; Tunisia; Ai Cập; Syria</w:t>
      </w:r>
      <w:r w:rsidR="003C4F2A">
        <w:rPr>
          <w:sz w:val="28"/>
          <w:szCs w:val="28"/>
        </w:rPr>
        <w:t xml:space="preserve"> (Hiệp định bị đình hoãn ngày </w:t>
      </w:r>
      <w:proofErr w:type="gramStart"/>
      <w:r w:rsidR="003C4F2A">
        <w:rPr>
          <w:sz w:val="28"/>
          <w:szCs w:val="28"/>
        </w:rPr>
        <w:t>6/11/2011</w:t>
      </w:r>
      <w:proofErr w:type="gramEnd"/>
      <w:r w:rsidR="003C4F2A">
        <w:rPr>
          <w:sz w:val="28"/>
          <w:szCs w:val="28"/>
        </w:rPr>
        <w:t>)</w:t>
      </w:r>
      <w:r>
        <w:rPr>
          <w:sz w:val="28"/>
          <w:szCs w:val="28"/>
        </w:rPr>
        <w:t>; Georgia; Serbia; Montenegro; Chile và Jordan</w:t>
      </w:r>
      <w:r w:rsidR="003C4F2A">
        <w:rPr>
          <w:sz w:val="28"/>
          <w:szCs w:val="28"/>
        </w:rPr>
        <w:t>. FTA ký với Lebanon và</w:t>
      </w:r>
      <w:r w:rsidR="00373B07">
        <w:rPr>
          <w:sz w:val="28"/>
          <w:szCs w:val="28"/>
        </w:rPr>
        <w:t xml:space="preserve"> Mauritius đang trong giai đoạn</w:t>
      </w:r>
      <w:r w:rsidR="003C4F2A">
        <w:rPr>
          <w:sz w:val="28"/>
          <w:szCs w:val="28"/>
        </w:rPr>
        <w:t xml:space="preserve"> phê chuẩn. FTA ký với Hàn Quốc có hiệu lực từ ngày </w:t>
      </w:r>
      <w:proofErr w:type="gramStart"/>
      <w:r w:rsidR="003C4F2A">
        <w:rPr>
          <w:sz w:val="28"/>
          <w:szCs w:val="28"/>
        </w:rPr>
        <w:t>1/5/2013</w:t>
      </w:r>
      <w:proofErr w:type="gramEnd"/>
      <w:r w:rsidR="003C4F2A">
        <w:rPr>
          <w:sz w:val="28"/>
          <w:szCs w:val="28"/>
        </w:rPr>
        <w:t>.</w:t>
      </w:r>
    </w:p>
    <w:p w:rsidR="002759C0" w:rsidRPr="00B70062" w:rsidRDefault="002759C0" w:rsidP="00B70062">
      <w:pPr>
        <w:pStyle w:val="NormalWeb"/>
        <w:shd w:val="clear" w:color="auto" w:fill="FFFFFF"/>
        <w:jc w:val="both"/>
        <w:rPr>
          <w:sz w:val="28"/>
          <w:szCs w:val="28"/>
        </w:rPr>
      </w:pPr>
      <w:r>
        <w:rPr>
          <w:sz w:val="28"/>
          <w:szCs w:val="28"/>
        </w:rPr>
        <w:tab/>
      </w:r>
      <w:proofErr w:type="gramStart"/>
      <w:r>
        <w:rPr>
          <w:sz w:val="28"/>
          <w:szCs w:val="28"/>
        </w:rPr>
        <w:t xml:space="preserve">Các đối tác FTA với Thổ Nhĩ Kỳ chiếm tỷ trọng 9,5% thị trường xuất khẩu và 4,5% thị trường nhập khẩu của nước này với 3,9 tỷ USD thặng dư thương mại năm 2012. Cũng trong năm 2012, xuất khẩu </w:t>
      </w:r>
      <w:r w:rsidR="00197E27">
        <w:rPr>
          <w:sz w:val="28"/>
          <w:szCs w:val="28"/>
        </w:rPr>
        <w:t xml:space="preserve">của Thổ Nhĩ Kỳ </w:t>
      </w:r>
      <w:r>
        <w:rPr>
          <w:sz w:val="28"/>
          <w:szCs w:val="28"/>
        </w:rPr>
        <w:t xml:space="preserve">tăng sang các đối tác FTA như Jordan, Ai Cập và các nước EFTA. </w:t>
      </w:r>
      <w:proofErr w:type="gramEnd"/>
      <w:r>
        <w:rPr>
          <w:sz w:val="28"/>
          <w:szCs w:val="28"/>
        </w:rPr>
        <w:t>Đồng thời, 7 đối tác FTA đứng trong 40 nước đứng đầu về thị trường xuất khẩu cho hàng hóa Thổ Nhĩ Kỳ (Ai Cập, Israel, Thụy Sỹ, Georgia, Morocco, Lebanon và Tunisia).</w:t>
      </w:r>
    </w:p>
    <w:p w:rsidR="00CB5402" w:rsidRDefault="008C0314" w:rsidP="004B7EE3">
      <w:pPr>
        <w:jc w:val="both"/>
        <w:rPr>
          <w:sz w:val="28"/>
          <w:szCs w:val="28"/>
          <w:lang w:val="en-US"/>
        </w:rPr>
      </w:pPr>
      <w:r>
        <w:rPr>
          <w:sz w:val="28"/>
          <w:szCs w:val="28"/>
          <w:lang w:val="en-US"/>
        </w:rPr>
        <w:tab/>
      </w:r>
      <w:proofErr w:type="gramStart"/>
      <w:r w:rsidR="00CB5402">
        <w:rPr>
          <w:sz w:val="28"/>
          <w:szCs w:val="28"/>
          <w:lang w:val="en-US"/>
        </w:rPr>
        <w:t>Tuy nhiên, Thổ Nhĩ Kỳ cũng gặp những trở ngại nhất định khi thực thi</w:t>
      </w:r>
      <w:r w:rsidR="00D2470A">
        <w:rPr>
          <w:sz w:val="28"/>
          <w:szCs w:val="28"/>
          <w:lang w:val="en-US"/>
        </w:rPr>
        <w:t xml:space="preserve"> FTA với Liên minh thuế quan với</w:t>
      </w:r>
      <w:r w:rsidR="00CB5402">
        <w:rPr>
          <w:sz w:val="28"/>
          <w:szCs w:val="28"/>
          <w:lang w:val="en-US"/>
        </w:rPr>
        <w:t xml:space="preserve"> EU.</w:t>
      </w:r>
      <w:proofErr w:type="gramEnd"/>
      <w:r w:rsidR="00CB5402">
        <w:rPr>
          <w:sz w:val="28"/>
          <w:szCs w:val="28"/>
          <w:lang w:val="en-US"/>
        </w:rPr>
        <w:t xml:space="preserve"> </w:t>
      </w:r>
      <w:r w:rsidR="00D2470A">
        <w:rPr>
          <w:sz w:val="28"/>
          <w:szCs w:val="28"/>
          <w:lang w:val="en-US"/>
        </w:rPr>
        <w:t>Theo Hiệp định này ký với EU có</w:t>
      </w:r>
      <w:r w:rsidR="00CB5402">
        <w:rPr>
          <w:sz w:val="28"/>
          <w:szCs w:val="28"/>
          <w:lang w:val="en-US"/>
        </w:rPr>
        <w:t xml:space="preserve"> hiệu lực từ đầu năm 1996, Thổ Nhĩ Kỳ phải áp dụng mức thuế quan tương tự như EU áp dụng đới với các sản phẩm công nghiệp nhập khẩu từ các nước thứ ba mà EU đã ký FTA, trong khi sản phẩm của các nước thứ ba này như Mexico và Nam Phi có thể nhập khẩu vào Thổ Nhĩ Kỳ không phải chịu thuế. Như vậy, Thổ Nhĩ Kỳ, do chưa phải là thành viên EU nên không được hưởng những quyền lợi như của nước thứ ba.</w:t>
      </w:r>
    </w:p>
    <w:p w:rsidR="00460866" w:rsidRDefault="00460866" w:rsidP="004B7EE3">
      <w:pPr>
        <w:jc w:val="both"/>
        <w:rPr>
          <w:sz w:val="28"/>
          <w:szCs w:val="28"/>
          <w:lang w:val="en-US"/>
        </w:rPr>
      </w:pPr>
    </w:p>
    <w:p w:rsidR="00460866" w:rsidRDefault="008C0314" w:rsidP="004B7EE3">
      <w:pPr>
        <w:jc w:val="both"/>
        <w:rPr>
          <w:sz w:val="28"/>
          <w:szCs w:val="28"/>
          <w:lang w:val="en-US"/>
        </w:rPr>
      </w:pPr>
      <w:r>
        <w:rPr>
          <w:sz w:val="28"/>
          <w:szCs w:val="28"/>
          <w:lang w:val="en-US"/>
        </w:rPr>
        <w:tab/>
      </w:r>
      <w:r w:rsidR="00460866">
        <w:rPr>
          <w:sz w:val="28"/>
          <w:szCs w:val="28"/>
          <w:lang w:val="en-US"/>
        </w:rPr>
        <w:t>Cũng chính vì lý do đó, việc công bố đàm phán FTA giữa EU và Mỹ sẽ kết thúc trong vòng 2 năm tới đã làm dấy lê</w:t>
      </w:r>
      <w:r w:rsidR="00D2470A">
        <w:rPr>
          <w:sz w:val="28"/>
          <w:szCs w:val="28"/>
          <w:lang w:val="en-US"/>
        </w:rPr>
        <w:t>n nỗi lo cho các nhà hoạch định</w:t>
      </w:r>
      <w:r w:rsidR="00373B07">
        <w:rPr>
          <w:sz w:val="28"/>
          <w:szCs w:val="28"/>
          <w:lang w:val="en-US"/>
        </w:rPr>
        <w:t xml:space="preserve"> chí</w:t>
      </w:r>
      <w:r w:rsidR="00460866">
        <w:rPr>
          <w:sz w:val="28"/>
          <w:szCs w:val="28"/>
          <w:lang w:val="en-US"/>
        </w:rPr>
        <w:t xml:space="preserve">nh sách và giới doanh nghiệp Thổ Nhĩ Kỳ. Quan ngại của nước này là cán cân thương mại Thổ </w:t>
      </w:r>
      <w:r w:rsidR="00D2470A">
        <w:rPr>
          <w:sz w:val="28"/>
          <w:szCs w:val="28"/>
          <w:lang w:val="en-US"/>
        </w:rPr>
        <w:t>Nhĩ Kỳ –</w:t>
      </w:r>
      <w:r w:rsidR="00460866">
        <w:rPr>
          <w:sz w:val="28"/>
          <w:szCs w:val="28"/>
          <w:lang w:val="en-US"/>
        </w:rPr>
        <w:t xml:space="preserve"> Mỹ sẽ ngày càng lớn và bất lợi cho Thổ Nhĩ Kỳ nếu nước này khô</w:t>
      </w:r>
      <w:r w:rsidR="00D2470A">
        <w:rPr>
          <w:sz w:val="28"/>
          <w:szCs w:val="28"/>
          <w:lang w:val="en-US"/>
        </w:rPr>
        <w:t>ng</w:t>
      </w:r>
      <w:r w:rsidR="00460866">
        <w:rPr>
          <w:sz w:val="28"/>
          <w:szCs w:val="28"/>
          <w:lang w:val="en-US"/>
        </w:rPr>
        <w:t xml:space="preserve"> thuyêt phục được Mỹ đồng thờ</w:t>
      </w:r>
      <w:r w:rsidR="00D2470A">
        <w:rPr>
          <w:sz w:val="28"/>
          <w:szCs w:val="28"/>
          <w:lang w:val="en-US"/>
        </w:rPr>
        <w:t xml:space="preserve">i đàm phán và ký FTA với mình. </w:t>
      </w:r>
      <w:proofErr w:type="gramStart"/>
      <w:r w:rsidR="00D2470A">
        <w:rPr>
          <w:sz w:val="28"/>
          <w:szCs w:val="28"/>
          <w:lang w:val="en-US"/>
        </w:rPr>
        <w:t>Nếu không</w:t>
      </w:r>
      <w:r w:rsidR="00460866">
        <w:rPr>
          <w:sz w:val="28"/>
          <w:szCs w:val="28"/>
          <w:lang w:val="en-US"/>
        </w:rPr>
        <w:t xml:space="preserve"> làm được việc này, kinh tế Thổ Nhĩ Kỳ sẽ bị ảnh hưởng tiêu cực.</w:t>
      </w:r>
      <w:proofErr w:type="gramEnd"/>
    </w:p>
    <w:p w:rsidR="00460866" w:rsidRDefault="00460866" w:rsidP="004B7EE3">
      <w:pPr>
        <w:jc w:val="both"/>
        <w:rPr>
          <w:sz w:val="28"/>
          <w:szCs w:val="28"/>
          <w:lang w:val="en-US"/>
        </w:rPr>
      </w:pPr>
    </w:p>
    <w:p w:rsidR="00460866" w:rsidRDefault="008C0314" w:rsidP="004B7EE3">
      <w:pPr>
        <w:jc w:val="both"/>
        <w:rPr>
          <w:sz w:val="28"/>
          <w:szCs w:val="28"/>
          <w:lang w:val="en-US"/>
        </w:rPr>
      </w:pPr>
      <w:r>
        <w:rPr>
          <w:sz w:val="28"/>
          <w:szCs w:val="28"/>
          <w:lang w:val="en-US"/>
        </w:rPr>
        <w:tab/>
      </w:r>
      <w:r w:rsidR="00460866">
        <w:rPr>
          <w:sz w:val="28"/>
          <w:szCs w:val="28"/>
          <w:lang w:val="en-US"/>
        </w:rPr>
        <w:t xml:space="preserve">Cán cân thương mại với Mỹ luôn bất lợi cho Thổ Nhĩ Kỳ. Năm 2012, Thổ Nhĩ Kỳ xuất khẩu sang Mỹ 5,6 tỷ USD, nhưng nhập khẩu từ thị trường này 14,1 tỷ USD. </w:t>
      </w:r>
      <w:proofErr w:type="gramStart"/>
      <w:r w:rsidR="00460866">
        <w:rPr>
          <w:sz w:val="28"/>
          <w:szCs w:val="28"/>
          <w:lang w:val="en-US"/>
        </w:rPr>
        <w:t>Nhật Bản cũng là nước mà EU dự kiến sẽ kết thúc đàm phán FTA.</w:t>
      </w:r>
      <w:proofErr w:type="gramEnd"/>
      <w:r w:rsidR="00460866">
        <w:rPr>
          <w:sz w:val="28"/>
          <w:szCs w:val="28"/>
          <w:lang w:val="en-US"/>
        </w:rPr>
        <w:t xml:space="preserve"> Do đó, Thổ Nhĩ Kỳ cũng cần thiết phải khởi động đàm phán FTA với Nhật Bản.</w:t>
      </w:r>
      <w:r w:rsidR="000C28A4">
        <w:rPr>
          <w:sz w:val="28"/>
          <w:szCs w:val="28"/>
          <w:lang w:val="en-US"/>
        </w:rPr>
        <w:t xml:space="preserve"> </w:t>
      </w:r>
      <w:r w:rsidR="00460866">
        <w:rPr>
          <w:sz w:val="28"/>
          <w:szCs w:val="28"/>
          <w:lang w:val="en-US"/>
        </w:rPr>
        <w:t>Trong chuyến thăm tháng 5</w:t>
      </w:r>
      <w:r w:rsidR="000C28A4">
        <w:rPr>
          <w:sz w:val="28"/>
          <w:szCs w:val="28"/>
          <w:lang w:val="en-US"/>
        </w:rPr>
        <w:t>/2013</w:t>
      </w:r>
      <w:r w:rsidR="00460866">
        <w:rPr>
          <w:sz w:val="28"/>
          <w:szCs w:val="28"/>
          <w:lang w:val="en-US"/>
        </w:rPr>
        <w:t xml:space="preserve"> tới Mỹ, Thủ tướng Thổ Nhĩ Kỳ Recep Tayyip Erdogan sẽ đề nghị</w:t>
      </w:r>
      <w:r w:rsidR="00D2470A">
        <w:rPr>
          <w:sz w:val="28"/>
          <w:szCs w:val="28"/>
          <w:lang w:val="en-US"/>
        </w:rPr>
        <w:t xml:space="preserve"> Tổng</w:t>
      </w:r>
      <w:r w:rsidR="000C28A4">
        <w:rPr>
          <w:sz w:val="28"/>
          <w:szCs w:val="28"/>
          <w:lang w:val="en-US"/>
        </w:rPr>
        <w:t xml:space="preserve"> thống</w:t>
      </w:r>
      <w:r w:rsidR="00460866">
        <w:rPr>
          <w:sz w:val="28"/>
          <w:szCs w:val="28"/>
          <w:lang w:val="en-US"/>
        </w:rPr>
        <w:t xml:space="preserve"> Mỹ</w:t>
      </w:r>
      <w:r w:rsidR="00197E27">
        <w:rPr>
          <w:sz w:val="28"/>
          <w:szCs w:val="28"/>
          <w:lang w:val="en-US"/>
        </w:rPr>
        <w:t xml:space="preserve"> Barack Obama</w:t>
      </w:r>
      <w:r w:rsidR="00460866">
        <w:rPr>
          <w:sz w:val="28"/>
          <w:szCs w:val="28"/>
          <w:lang w:val="en-US"/>
        </w:rPr>
        <w:t xml:space="preserve"> </w:t>
      </w:r>
      <w:r w:rsidR="000C28A4">
        <w:rPr>
          <w:sz w:val="28"/>
          <w:szCs w:val="28"/>
          <w:lang w:val="en-US"/>
        </w:rPr>
        <w:t xml:space="preserve">khởi động </w:t>
      </w:r>
      <w:r w:rsidR="00460866">
        <w:rPr>
          <w:sz w:val="28"/>
          <w:szCs w:val="28"/>
          <w:lang w:val="en-US"/>
        </w:rPr>
        <w:t>đàm phán FTA với Thổ Nhĩ Kỳ.</w:t>
      </w:r>
    </w:p>
    <w:p w:rsidR="000C28A4" w:rsidRDefault="000C28A4" w:rsidP="004B7EE3">
      <w:pPr>
        <w:jc w:val="both"/>
        <w:rPr>
          <w:sz w:val="28"/>
          <w:szCs w:val="28"/>
          <w:lang w:val="en-US"/>
        </w:rPr>
      </w:pPr>
    </w:p>
    <w:p w:rsidR="00373B07" w:rsidRDefault="008C0314" w:rsidP="004B7EE3">
      <w:pPr>
        <w:jc w:val="both"/>
        <w:rPr>
          <w:sz w:val="28"/>
          <w:szCs w:val="28"/>
          <w:lang w:val="en-US"/>
        </w:rPr>
      </w:pPr>
      <w:r>
        <w:rPr>
          <w:sz w:val="28"/>
          <w:szCs w:val="28"/>
          <w:lang w:val="en-US"/>
        </w:rPr>
        <w:tab/>
      </w:r>
      <w:r w:rsidR="000C28A4">
        <w:rPr>
          <w:sz w:val="28"/>
          <w:szCs w:val="28"/>
          <w:lang w:val="en-US"/>
        </w:rPr>
        <w:t>Về phần mình, Thổ Nhĩ Kỳ chỉ trích EU đã không chú ý đến yêu cầu chính đáng của nước này là Thổ Nhĩ Kỳ phải được coi như bên thứ ba trong các FTA mà EU đàm phán và kết thúc. Sự chỉ trích này tăng lên khi Mỹ tham gia vào cuộc chơi với EU</w:t>
      </w:r>
      <w:r w:rsidR="00373B07">
        <w:rPr>
          <w:sz w:val="28"/>
          <w:szCs w:val="28"/>
          <w:lang w:val="en-US"/>
        </w:rPr>
        <w:t xml:space="preserve"> vì Mỹ là nền kinh tế số một trên</w:t>
      </w:r>
      <w:r w:rsidR="000C28A4">
        <w:rPr>
          <w:sz w:val="28"/>
          <w:szCs w:val="28"/>
          <w:lang w:val="en-US"/>
        </w:rPr>
        <w:t xml:space="preserve"> thế giới với nhiều tiềm năng có thể ảnh hưởng tích cực hoặc tiêu cực tới nền kinh tế Thổ Nhĩ Kỳ.</w:t>
      </w:r>
      <w:r w:rsidR="00373B07">
        <w:rPr>
          <w:sz w:val="28"/>
          <w:szCs w:val="28"/>
          <w:lang w:val="en-US"/>
        </w:rPr>
        <w:t xml:space="preserve"> </w:t>
      </w:r>
      <w:r w:rsidR="000C28A4">
        <w:rPr>
          <w:sz w:val="28"/>
          <w:szCs w:val="28"/>
          <w:lang w:val="en-US"/>
        </w:rPr>
        <w:t>Thổ Nhĩ Kỳ dự kiến FTA giữa Mỹ và EU kết thúc sẽ làm giảm 2</w:t>
      </w:r>
      <w:proofErr w:type="gramStart"/>
      <w:r w:rsidR="000C28A4">
        <w:rPr>
          <w:sz w:val="28"/>
          <w:szCs w:val="28"/>
          <w:lang w:val="en-US"/>
        </w:rPr>
        <w:t>,5</w:t>
      </w:r>
      <w:proofErr w:type="gramEnd"/>
      <w:r w:rsidR="000C28A4">
        <w:rPr>
          <w:sz w:val="28"/>
          <w:szCs w:val="28"/>
          <w:lang w:val="en-US"/>
        </w:rPr>
        <w:t>% GDP (khoảng 20 tỷ USD) của Thổ Nhĩ Kỳ trong dài hạn.</w:t>
      </w:r>
      <w:r w:rsidR="00C05ACB">
        <w:rPr>
          <w:sz w:val="28"/>
          <w:szCs w:val="28"/>
          <w:lang w:val="en-US"/>
        </w:rPr>
        <w:t xml:space="preserve"> </w:t>
      </w:r>
    </w:p>
    <w:p w:rsidR="00373B07" w:rsidRDefault="00373B07" w:rsidP="004B7EE3">
      <w:pPr>
        <w:jc w:val="both"/>
        <w:rPr>
          <w:sz w:val="28"/>
          <w:szCs w:val="28"/>
          <w:lang w:val="en-US"/>
        </w:rPr>
      </w:pPr>
    </w:p>
    <w:p w:rsidR="00373B07" w:rsidRDefault="00373B07" w:rsidP="004B7EE3">
      <w:pPr>
        <w:jc w:val="both"/>
        <w:rPr>
          <w:sz w:val="28"/>
          <w:szCs w:val="28"/>
          <w:lang w:val="en-US"/>
        </w:rPr>
      </w:pPr>
      <w:r>
        <w:rPr>
          <w:sz w:val="28"/>
          <w:szCs w:val="28"/>
          <w:lang w:val="en-US"/>
        </w:rPr>
        <w:tab/>
      </w:r>
      <w:r w:rsidR="00C05ACB">
        <w:rPr>
          <w:sz w:val="28"/>
          <w:szCs w:val="28"/>
          <w:lang w:val="en-US"/>
        </w:rPr>
        <w:t xml:space="preserve">Với thái độ không hài </w:t>
      </w:r>
      <w:r w:rsidR="009E09D4">
        <w:rPr>
          <w:sz w:val="28"/>
          <w:szCs w:val="28"/>
          <w:lang w:val="en-US"/>
        </w:rPr>
        <w:t>lò</w:t>
      </w:r>
      <w:r w:rsidR="00C05ACB">
        <w:rPr>
          <w:sz w:val="28"/>
          <w:szCs w:val="28"/>
          <w:lang w:val="en-US"/>
        </w:rPr>
        <w:t xml:space="preserve">ng về </w:t>
      </w:r>
      <w:r w:rsidR="009E09D4">
        <w:rPr>
          <w:sz w:val="28"/>
          <w:szCs w:val="28"/>
          <w:lang w:val="en-US"/>
        </w:rPr>
        <w:t>FTA mà EU sẽ đàm phán với Mỹ, Bộ trưởng kinh tế Thổ Nhĩ Kỳ</w:t>
      </w:r>
      <w:r w:rsidR="00D2470A">
        <w:rPr>
          <w:sz w:val="28"/>
          <w:szCs w:val="28"/>
          <w:lang w:val="en-US"/>
        </w:rPr>
        <w:t>, ông</w:t>
      </w:r>
      <w:r w:rsidR="009E09D4">
        <w:rPr>
          <w:sz w:val="28"/>
          <w:szCs w:val="28"/>
          <w:lang w:val="en-US"/>
        </w:rPr>
        <w:t xml:space="preserve"> Zafer Cag</w:t>
      </w:r>
      <w:r>
        <w:rPr>
          <w:sz w:val="28"/>
          <w:szCs w:val="28"/>
          <w:lang w:val="en-US"/>
        </w:rPr>
        <w:t>layan tháng 3/2013</w:t>
      </w:r>
      <w:r w:rsidR="009E09D4">
        <w:rPr>
          <w:sz w:val="28"/>
          <w:szCs w:val="28"/>
          <w:lang w:val="en-US"/>
        </w:rPr>
        <w:t xml:space="preserve"> hé lộ rằng Thổ Nhĩ Kỳ có thể xem xét việc rút khỏi Liên minh thuế quan. </w:t>
      </w:r>
      <w:proofErr w:type="gramStart"/>
      <w:r w:rsidR="009E09D4">
        <w:rPr>
          <w:sz w:val="28"/>
          <w:szCs w:val="28"/>
          <w:lang w:val="en-US"/>
        </w:rPr>
        <w:t>Tuy nhiê</w:t>
      </w:r>
      <w:r w:rsidR="00197E27">
        <w:rPr>
          <w:sz w:val="28"/>
          <w:szCs w:val="28"/>
          <w:lang w:val="en-US"/>
        </w:rPr>
        <w:t>n, ông Ali Babacan, Thứ trưởng B</w:t>
      </w:r>
      <w:r w:rsidR="009E09D4">
        <w:rPr>
          <w:sz w:val="28"/>
          <w:szCs w:val="28"/>
          <w:lang w:val="en-US"/>
        </w:rPr>
        <w:t xml:space="preserve">ộ này thì </w:t>
      </w:r>
      <w:r w:rsidR="00D2470A">
        <w:rPr>
          <w:sz w:val="28"/>
          <w:szCs w:val="28"/>
          <w:lang w:val="en-US"/>
        </w:rPr>
        <w:t xml:space="preserve">tế nhị </w:t>
      </w:r>
      <w:r w:rsidR="009E09D4">
        <w:rPr>
          <w:sz w:val="28"/>
          <w:szCs w:val="28"/>
          <w:lang w:val="en-US"/>
        </w:rPr>
        <w:t>cho rằng Thổ Nhĩ Kỳ không dễ đơn phương hủy bỏ hiệp định.</w:t>
      </w:r>
      <w:proofErr w:type="gramEnd"/>
      <w:r w:rsidR="009E09D4">
        <w:rPr>
          <w:sz w:val="28"/>
          <w:szCs w:val="28"/>
          <w:lang w:val="en-US"/>
        </w:rPr>
        <w:t xml:space="preserve"> </w:t>
      </w:r>
    </w:p>
    <w:p w:rsidR="00373B07" w:rsidRDefault="00373B07" w:rsidP="004B7EE3">
      <w:pPr>
        <w:jc w:val="both"/>
        <w:rPr>
          <w:sz w:val="28"/>
          <w:szCs w:val="28"/>
          <w:lang w:val="en-US"/>
        </w:rPr>
      </w:pPr>
    </w:p>
    <w:p w:rsidR="000C28A4" w:rsidRDefault="00373B07" w:rsidP="004B7EE3">
      <w:pPr>
        <w:jc w:val="both"/>
        <w:rPr>
          <w:sz w:val="28"/>
          <w:szCs w:val="28"/>
          <w:lang w:val="en-US"/>
        </w:rPr>
      </w:pPr>
      <w:r>
        <w:rPr>
          <w:sz w:val="28"/>
          <w:szCs w:val="28"/>
          <w:lang w:val="en-US"/>
        </w:rPr>
        <w:tab/>
      </w:r>
      <w:r w:rsidR="009E09D4">
        <w:rPr>
          <w:sz w:val="28"/>
          <w:szCs w:val="28"/>
          <w:lang w:val="en-US"/>
        </w:rPr>
        <w:t xml:space="preserve">Trong chuyến thăm vừa qua </w:t>
      </w:r>
      <w:r>
        <w:rPr>
          <w:sz w:val="28"/>
          <w:szCs w:val="28"/>
          <w:lang w:val="en-US"/>
        </w:rPr>
        <w:t xml:space="preserve">đầu tháng 4/2013 </w:t>
      </w:r>
      <w:r w:rsidR="009E09D4">
        <w:rPr>
          <w:sz w:val="28"/>
          <w:szCs w:val="28"/>
          <w:lang w:val="en-US"/>
        </w:rPr>
        <w:t>tới Thổ Nhĩ Kỳ, Ngoại trưởng Mỹ John</w:t>
      </w:r>
      <w:r w:rsidR="00D2470A">
        <w:rPr>
          <w:sz w:val="28"/>
          <w:szCs w:val="28"/>
          <w:lang w:val="en-US"/>
        </w:rPr>
        <w:t xml:space="preserve"> Kerry cho</w:t>
      </w:r>
      <w:r w:rsidR="009E09D4">
        <w:rPr>
          <w:sz w:val="28"/>
          <w:szCs w:val="28"/>
          <w:lang w:val="en-US"/>
        </w:rPr>
        <w:t xml:space="preserve"> biết Mỹ muốn ký FTA với Thổ Nhĩ K</w:t>
      </w:r>
      <w:r w:rsidR="00D2470A">
        <w:rPr>
          <w:sz w:val="28"/>
          <w:szCs w:val="28"/>
          <w:lang w:val="en-US"/>
        </w:rPr>
        <w:t>ỳ, nhưng không có gì bảo đảm cho</w:t>
      </w:r>
      <w:r w:rsidR="009E09D4">
        <w:rPr>
          <w:sz w:val="28"/>
          <w:szCs w:val="28"/>
          <w:lang w:val="en-US"/>
        </w:rPr>
        <w:t xml:space="preserve"> việc này cho đến khi</w:t>
      </w:r>
      <w:r w:rsidR="00D2470A">
        <w:rPr>
          <w:sz w:val="28"/>
          <w:szCs w:val="28"/>
          <w:lang w:val="en-US"/>
        </w:rPr>
        <w:t xml:space="preserve"> hiệp định được ký kết vì Thổ Nhĩ Kỳ đã có ki</w:t>
      </w:r>
      <w:r w:rsidR="009E09D4">
        <w:rPr>
          <w:sz w:val="28"/>
          <w:szCs w:val="28"/>
          <w:lang w:val="en-US"/>
        </w:rPr>
        <w:t>nh nghiệm về vấn đề này. Ba nước mà EU đã ký FTA là Mexico, Nam Phi và Algeria đã một mực từ chối ký FTA với Thổ Nhĩ Kỳ</w:t>
      </w:r>
      <w:r w:rsidR="004B7EE3">
        <w:rPr>
          <w:sz w:val="28"/>
          <w:szCs w:val="28"/>
          <w:lang w:val="en-US"/>
        </w:rPr>
        <w:t xml:space="preserve"> vì họ đã được lợ</w:t>
      </w:r>
      <w:r w:rsidR="002759C0">
        <w:rPr>
          <w:sz w:val="28"/>
          <w:szCs w:val="28"/>
          <w:lang w:val="en-US"/>
        </w:rPr>
        <w:t>i với thuế suất 0%</w:t>
      </w:r>
      <w:r w:rsidR="004B7EE3">
        <w:rPr>
          <w:sz w:val="28"/>
          <w:szCs w:val="28"/>
          <w:lang w:val="en-US"/>
        </w:rPr>
        <w:t xml:space="preserve"> cho các sản phẩm của họ tại thị trường Thổ Nhĩ Kỳ.</w:t>
      </w:r>
    </w:p>
    <w:p w:rsidR="004B7EE3" w:rsidRDefault="004B7EE3" w:rsidP="004B7EE3">
      <w:pPr>
        <w:jc w:val="both"/>
        <w:rPr>
          <w:sz w:val="28"/>
          <w:szCs w:val="28"/>
          <w:lang w:val="en-US"/>
        </w:rPr>
      </w:pPr>
    </w:p>
    <w:p w:rsidR="004B7EE3" w:rsidRDefault="008C0314" w:rsidP="004B7EE3">
      <w:pPr>
        <w:jc w:val="both"/>
        <w:rPr>
          <w:sz w:val="28"/>
          <w:szCs w:val="28"/>
          <w:lang w:val="en-US"/>
        </w:rPr>
      </w:pPr>
      <w:r>
        <w:rPr>
          <w:sz w:val="28"/>
          <w:szCs w:val="28"/>
          <w:lang w:val="en-US"/>
        </w:rPr>
        <w:tab/>
      </w:r>
      <w:proofErr w:type="gramStart"/>
      <w:r w:rsidR="004B7EE3">
        <w:rPr>
          <w:sz w:val="28"/>
          <w:szCs w:val="28"/>
          <w:lang w:val="en-US"/>
        </w:rPr>
        <w:t>FTA gần đây nhất là Thổ Nhĩ Kỳ ký với Hàn Quốc vào tháng 8/2012 v</w:t>
      </w:r>
      <w:r w:rsidR="00197E27">
        <w:rPr>
          <w:sz w:val="28"/>
          <w:szCs w:val="28"/>
          <w:lang w:val="en-US"/>
        </w:rPr>
        <w:t>à có hiệu lực vào ngày 1/5/2013</w:t>
      </w:r>
      <w:r w:rsidR="004B7EE3">
        <w:rPr>
          <w:sz w:val="28"/>
          <w:szCs w:val="28"/>
          <w:lang w:val="en-US"/>
        </w:rPr>
        <w:t>.</w:t>
      </w:r>
      <w:proofErr w:type="gramEnd"/>
      <w:r w:rsidR="004B7EE3">
        <w:rPr>
          <w:sz w:val="28"/>
          <w:szCs w:val="28"/>
          <w:lang w:val="en-US"/>
        </w:rPr>
        <w:t xml:space="preserve"> Theo thỏa thuận, trong vòng 10 năm, hai bên ký kết sẽ áp thuế dần dần về 0% cho 90% các sản phẩm. Về nông sản, </w:t>
      </w:r>
      <w:r w:rsidR="004B7EE3">
        <w:rPr>
          <w:sz w:val="28"/>
          <w:szCs w:val="28"/>
          <w:lang w:val="en-US"/>
        </w:rPr>
        <w:lastRenderedPageBreak/>
        <w:t>thuế suất của 52% nông sản được đề cập trong Hiệp định sẽ là 0% trong vòng 10 năm.</w:t>
      </w:r>
    </w:p>
    <w:p w:rsidR="004B7EE3" w:rsidRDefault="008C0314" w:rsidP="002759C0">
      <w:pPr>
        <w:pStyle w:val="NormalWeb"/>
        <w:shd w:val="clear" w:color="auto" w:fill="FFFFFF"/>
        <w:jc w:val="both"/>
        <w:rPr>
          <w:sz w:val="28"/>
          <w:szCs w:val="28"/>
          <w:lang w:val="en-US"/>
        </w:rPr>
      </w:pPr>
      <w:r>
        <w:rPr>
          <w:sz w:val="28"/>
          <w:szCs w:val="28"/>
          <w:lang w:val="en-US"/>
        </w:rPr>
        <w:tab/>
      </w:r>
      <w:r w:rsidR="004B7EE3">
        <w:rPr>
          <w:sz w:val="28"/>
          <w:szCs w:val="28"/>
          <w:lang w:val="en-US"/>
        </w:rPr>
        <w:t xml:space="preserve">Hiện nay, Thổ Nhĩ Kỳ đang đàm phán FTA hoặc đề nghị đàm phán </w:t>
      </w:r>
      <w:r w:rsidR="003C4F2A">
        <w:rPr>
          <w:sz w:val="28"/>
          <w:szCs w:val="28"/>
          <w:lang w:val="en-US"/>
        </w:rPr>
        <w:t>FTA với 21 nước và 5 nhóm nước:</w:t>
      </w:r>
      <w:r w:rsidR="003C4F2A">
        <w:rPr>
          <w:sz w:val="28"/>
          <w:szCs w:val="28"/>
        </w:rPr>
        <w:t xml:space="preserve"> (1) 14 nước và nhómm nước đã đàm phán FTA: Ukraine; Colombia; Ecuador; Malaysia; Kosovo; Moldova; CH Dân chủ Congo; Ghana; Cameroon; Seychelles;</w:t>
      </w:r>
      <w:r w:rsidR="00197E27">
        <w:rPr>
          <w:sz w:val="28"/>
          <w:szCs w:val="28"/>
        </w:rPr>
        <w:t xml:space="preserve"> Hội đồng Hợp tác vùng Vịnh</w:t>
      </w:r>
      <w:r w:rsidR="003C4F2A">
        <w:rPr>
          <w:sz w:val="28"/>
          <w:szCs w:val="28"/>
        </w:rPr>
        <w:t xml:space="preserve"> (GCC</w:t>
      </w:r>
      <w:r w:rsidR="002759C0">
        <w:rPr>
          <w:sz w:val="28"/>
          <w:szCs w:val="28"/>
        </w:rPr>
        <w:t xml:space="preserve"> – gần đây GCC đã hoãn tất cả các cuộc đàm phànTA)</w:t>
      </w:r>
      <w:r w:rsidR="003C4F2A">
        <w:rPr>
          <w:sz w:val="28"/>
          <w:szCs w:val="28"/>
        </w:rPr>
        <w:t>); Libya;</w:t>
      </w:r>
      <w:r w:rsidR="003C4F2A" w:rsidRPr="00B70062">
        <w:rPr>
          <w:sz w:val="28"/>
          <w:szCs w:val="28"/>
        </w:rPr>
        <w:t xml:space="preserve"> </w:t>
      </w:r>
      <w:r w:rsidR="003C4F2A">
        <w:rPr>
          <w:sz w:val="28"/>
          <w:szCs w:val="28"/>
          <w:lang w:val="en-US"/>
        </w:rPr>
        <w:t>Liên minh các quốc gia Nam Mỹ</w:t>
      </w:r>
      <w:r w:rsidR="003C4F2A" w:rsidRPr="00B70062">
        <w:rPr>
          <w:sz w:val="28"/>
          <w:szCs w:val="28"/>
        </w:rPr>
        <w:t xml:space="preserve"> </w:t>
      </w:r>
      <w:r w:rsidR="003C4F2A">
        <w:rPr>
          <w:sz w:val="28"/>
          <w:szCs w:val="28"/>
        </w:rPr>
        <w:t>(</w:t>
      </w:r>
      <w:r w:rsidR="003C4F2A" w:rsidRPr="00B70062">
        <w:rPr>
          <w:sz w:val="28"/>
          <w:szCs w:val="28"/>
        </w:rPr>
        <w:t>MERCOSUR</w:t>
      </w:r>
      <w:r w:rsidR="003C4F2A">
        <w:rPr>
          <w:sz w:val="28"/>
          <w:szCs w:val="28"/>
        </w:rPr>
        <w:t xml:space="preserve">) và </w:t>
      </w:r>
      <w:r w:rsidR="003C4F2A" w:rsidRPr="00B70062">
        <w:rPr>
          <w:sz w:val="28"/>
          <w:szCs w:val="28"/>
        </w:rPr>
        <w:t>Faroe Islands.</w:t>
      </w:r>
      <w:r w:rsidR="003C4F2A">
        <w:rPr>
          <w:sz w:val="28"/>
          <w:szCs w:val="28"/>
        </w:rPr>
        <w:t xml:space="preserve"> Và (2) 12 nước và nhóm nước Thổ Nhĩ Kỳ đã đề nghị khởi động dàm phán FTA: </w:t>
      </w:r>
      <w:r w:rsidR="00197E27">
        <w:rPr>
          <w:sz w:val="28"/>
          <w:szCs w:val="28"/>
        </w:rPr>
        <w:t>Canada, Nhật Bản, Ấn Độ</w:t>
      </w:r>
      <w:r w:rsidR="003C4F2A">
        <w:rPr>
          <w:sz w:val="28"/>
          <w:szCs w:val="28"/>
        </w:rPr>
        <w:t>, Indonesia, Việt Nam,</w:t>
      </w:r>
      <w:r w:rsidR="003C4F2A">
        <w:rPr>
          <w:sz w:val="28"/>
          <w:szCs w:val="28"/>
          <w:lang w:val="en-US"/>
        </w:rPr>
        <w:t xml:space="preserve"> Hiệp hội các quốc gia Đông Nam Á (ASEAN)</w:t>
      </w:r>
      <w:r w:rsidR="003C4F2A" w:rsidRPr="00B70062">
        <w:rPr>
          <w:sz w:val="28"/>
          <w:szCs w:val="28"/>
        </w:rPr>
        <w:t xml:space="preserve">, </w:t>
      </w:r>
      <w:r w:rsidR="002759C0">
        <w:rPr>
          <w:sz w:val="28"/>
          <w:szCs w:val="28"/>
        </w:rPr>
        <w:t>Peru, Nhóm nước Trung Mỹ, các nước ACP</w:t>
      </w:r>
      <w:r w:rsidR="00197E27">
        <w:rPr>
          <w:sz w:val="28"/>
          <w:szCs w:val="28"/>
        </w:rPr>
        <w:t xml:space="preserve"> (nhóm nước châu Phi, Caribe và Thái Bình Dương)</w:t>
      </w:r>
      <w:r w:rsidR="003C4F2A" w:rsidRPr="00B70062">
        <w:rPr>
          <w:sz w:val="28"/>
          <w:szCs w:val="28"/>
        </w:rPr>
        <w:t xml:space="preserve">, </w:t>
      </w:r>
      <w:r w:rsidR="002759C0">
        <w:rPr>
          <w:sz w:val="28"/>
          <w:szCs w:val="28"/>
        </w:rPr>
        <w:t>Algeria, Mexico và Nam Phi./.</w:t>
      </w:r>
    </w:p>
    <w:p w:rsidR="004B7EE3" w:rsidRDefault="004B7EE3" w:rsidP="004B7EE3">
      <w:pPr>
        <w:jc w:val="both"/>
        <w:rPr>
          <w:sz w:val="28"/>
          <w:szCs w:val="28"/>
          <w:lang w:val="en-US"/>
        </w:rPr>
      </w:pPr>
    </w:p>
    <w:p w:rsidR="004B7EE3" w:rsidRDefault="004B7EE3" w:rsidP="004B7EE3">
      <w:pPr>
        <w:jc w:val="both"/>
        <w:rPr>
          <w:sz w:val="28"/>
          <w:szCs w:val="28"/>
          <w:lang w:val="en-US"/>
        </w:rPr>
      </w:pPr>
    </w:p>
    <w:p w:rsidR="004B7EE3" w:rsidRPr="004B7EE3" w:rsidRDefault="008C0314" w:rsidP="004B7EE3">
      <w:pPr>
        <w:jc w:val="both"/>
        <w:rPr>
          <w:b/>
          <w:i/>
          <w:sz w:val="28"/>
          <w:szCs w:val="28"/>
          <w:lang w:val="en-US"/>
        </w:rPr>
      </w:pPr>
      <w:r>
        <w:rPr>
          <w:b/>
          <w:i/>
          <w:sz w:val="28"/>
          <w:szCs w:val="28"/>
          <w:lang w:val="en-US"/>
        </w:rPr>
        <w:tab/>
      </w:r>
      <w:r w:rsidR="004B7EE3" w:rsidRPr="004B7EE3">
        <w:rPr>
          <w:b/>
          <w:i/>
          <w:sz w:val="28"/>
          <w:szCs w:val="28"/>
          <w:lang w:val="en-US"/>
        </w:rPr>
        <w:t>Thương vụ Việt Nam tại Thổ Nhĩ Kỳ</w:t>
      </w:r>
    </w:p>
    <w:p w:rsidR="00CB5402" w:rsidRDefault="00CB5402" w:rsidP="004B7EE3">
      <w:pPr>
        <w:jc w:val="both"/>
        <w:rPr>
          <w:sz w:val="28"/>
          <w:szCs w:val="28"/>
          <w:lang w:val="en-US"/>
        </w:rPr>
      </w:pPr>
    </w:p>
    <w:p w:rsidR="00CB5402" w:rsidRPr="00A37AB8" w:rsidRDefault="00CB5402">
      <w:pPr>
        <w:rPr>
          <w:sz w:val="28"/>
          <w:szCs w:val="28"/>
        </w:rPr>
      </w:pPr>
    </w:p>
    <w:sectPr w:rsidR="00CB5402" w:rsidRPr="00A37AB8" w:rsidSect="00A37AB8">
      <w:footerReference w:type="default" r:id="rId8"/>
      <w:pgSz w:w="11906" w:h="16838"/>
      <w:pgMar w:top="1418" w:right="1418" w:bottom="1418"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0E6" w:rsidRDefault="00F730E6" w:rsidP="001264FB">
      <w:r>
        <w:separator/>
      </w:r>
    </w:p>
  </w:endnote>
  <w:endnote w:type="continuationSeparator" w:id="0">
    <w:p w:rsidR="00F730E6" w:rsidRDefault="00F730E6" w:rsidP="001264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A00002EF" w:usb1="4000004B" w:usb2="00000000" w:usb3="00000000" w:csb0="0000019F" w:csb1="00000000"/>
  </w:font>
  <w:font w:name="Calibri">
    <w:panose1 w:val="020F0502020204030204"/>
    <w:charset w:val="A2"/>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611483"/>
      <w:docPartObj>
        <w:docPartGallery w:val="Page Numbers (Bottom of Page)"/>
        <w:docPartUnique/>
      </w:docPartObj>
    </w:sdtPr>
    <w:sdtContent>
      <w:p w:rsidR="002759C0" w:rsidRDefault="002759C0">
        <w:pPr>
          <w:pStyle w:val="Footer"/>
          <w:jc w:val="right"/>
        </w:pPr>
        <w:fldSimple w:instr=" PAGE   \* MERGEFORMAT ">
          <w:r w:rsidR="00197E27">
            <w:rPr>
              <w:noProof/>
            </w:rPr>
            <w:t>1</w:t>
          </w:r>
        </w:fldSimple>
      </w:p>
    </w:sdtContent>
  </w:sdt>
  <w:p w:rsidR="002759C0" w:rsidRDefault="002759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0E6" w:rsidRDefault="00F730E6" w:rsidP="001264FB">
      <w:r>
        <w:separator/>
      </w:r>
    </w:p>
  </w:footnote>
  <w:footnote w:type="continuationSeparator" w:id="0">
    <w:p w:rsidR="00F730E6" w:rsidRDefault="00F730E6" w:rsidP="001264F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8"/>
  <w:hyphenationZone w:val="425"/>
  <w:characterSpacingControl w:val="doNotCompress"/>
  <w:footnotePr>
    <w:footnote w:id="-1"/>
    <w:footnote w:id="0"/>
  </w:footnotePr>
  <w:endnotePr>
    <w:endnote w:id="-1"/>
    <w:endnote w:id="0"/>
  </w:endnotePr>
  <w:compat/>
  <w:rsids>
    <w:rsidRoot w:val="00A37AB8"/>
    <w:rsid w:val="000C28A4"/>
    <w:rsid w:val="001264FB"/>
    <w:rsid w:val="0014088C"/>
    <w:rsid w:val="00197E27"/>
    <w:rsid w:val="002759C0"/>
    <w:rsid w:val="00373B07"/>
    <w:rsid w:val="003C4F2A"/>
    <w:rsid w:val="003F3132"/>
    <w:rsid w:val="00460866"/>
    <w:rsid w:val="004B7EE3"/>
    <w:rsid w:val="005E462F"/>
    <w:rsid w:val="006A3B60"/>
    <w:rsid w:val="008C0314"/>
    <w:rsid w:val="009C21BC"/>
    <w:rsid w:val="009E09D4"/>
    <w:rsid w:val="00A37AB8"/>
    <w:rsid w:val="00AC3CDC"/>
    <w:rsid w:val="00B70062"/>
    <w:rsid w:val="00B83D1A"/>
    <w:rsid w:val="00C05ACB"/>
    <w:rsid w:val="00CB5402"/>
    <w:rsid w:val="00D2470A"/>
    <w:rsid w:val="00E45E55"/>
    <w:rsid w:val="00EB70CC"/>
    <w:rsid w:val="00F730E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462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264FB"/>
    <w:pPr>
      <w:tabs>
        <w:tab w:val="center" w:pos="4536"/>
        <w:tab w:val="right" w:pos="9072"/>
      </w:tabs>
    </w:pPr>
  </w:style>
  <w:style w:type="character" w:customStyle="1" w:styleId="HeaderChar">
    <w:name w:val="Header Char"/>
    <w:basedOn w:val="DefaultParagraphFont"/>
    <w:link w:val="Header"/>
    <w:rsid w:val="001264FB"/>
    <w:rPr>
      <w:sz w:val="24"/>
      <w:szCs w:val="24"/>
    </w:rPr>
  </w:style>
  <w:style w:type="paragraph" w:styleId="Footer">
    <w:name w:val="footer"/>
    <w:basedOn w:val="Normal"/>
    <w:link w:val="FooterChar"/>
    <w:uiPriority w:val="99"/>
    <w:rsid w:val="001264FB"/>
    <w:pPr>
      <w:tabs>
        <w:tab w:val="center" w:pos="4536"/>
        <w:tab w:val="right" w:pos="9072"/>
      </w:tabs>
    </w:pPr>
  </w:style>
  <w:style w:type="character" w:customStyle="1" w:styleId="FooterChar">
    <w:name w:val="Footer Char"/>
    <w:basedOn w:val="DefaultParagraphFont"/>
    <w:link w:val="Footer"/>
    <w:uiPriority w:val="99"/>
    <w:rsid w:val="001264FB"/>
    <w:rPr>
      <w:sz w:val="24"/>
      <w:szCs w:val="24"/>
    </w:rPr>
  </w:style>
  <w:style w:type="character" w:styleId="Hyperlink">
    <w:name w:val="Hyperlink"/>
    <w:basedOn w:val="DefaultParagraphFont"/>
    <w:uiPriority w:val="99"/>
    <w:unhideWhenUsed/>
    <w:rsid w:val="00B70062"/>
    <w:rPr>
      <w:color w:val="0000FF"/>
      <w:u w:val="single"/>
    </w:rPr>
  </w:style>
  <w:style w:type="paragraph" w:styleId="NormalWeb">
    <w:name w:val="Normal (Web)"/>
    <w:basedOn w:val="Normal"/>
    <w:uiPriority w:val="99"/>
    <w:unhideWhenUsed/>
    <w:rsid w:val="00B7006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203051977">
      <w:bodyDiv w:val="1"/>
      <w:marLeft w:val="0"/>
      <w:marRight w:val="0"/>
      <w:marTop w:val="0"/>
      <w:marBottom w:val="0"/>
      <w:divBdr>
        <w:top w:val="none" w:sz="0" w:space="0" w:color="auto"/>
        <w:left w:val="none" w:sz="0" w:space="0" w:color="auto"/>
        <w:bottom w:val="none" w:sz="0" w:space="0" w:color="auto"/>
        <w:right w:val="none" w:sz="0" w:space="0" w:color="auto"/>
      </w:divBdr>
      <w:divsChild>
        <w:div w:id="733970226">
          <w:marLeft w:val="0"/>
          <w:marRight w:val="0"/>
          <w:marTop w:val="0"/>
          <w:marBottom w:val="0"/>
          <w:divBdr>
            <w:top w:val="none" w:sz="0" w:space="0" w:color="auto"/>
            <w:left w:val="none" w:sz="0" w:space="0" w:color="auto"/>
            <w:bottom w:val="none" w:sz="0" w:space="0" w:color="auto"/>
            <w:right w:val="none" w:sz="0" w:space="0" w:color="auto"/>
          </w:divBdr>
          <w:divsChild>
            <w:div w:id="556665631">
              <w:marLeft w:val="0"/>
              <w:marRight w:val="0"/>
              <w:marTop w:val="0"/>
              <w:marBottom w:val="0"/>
              <w:divBdr>
                <w:top w:val="none" w:sz="0" w:space="0" w:color="auto"/>
                <w:left w:val="none" w:sz="0" w:space="0" w:color="auto"/>
                <w:bottom w:val="none" w:sz="0" w:space="0" w:color="auto"/>
                <w:right w:val="none" w:sz="0" w:space="0" w:color="auto"/>
              </w:divBdr>
              <w:divsChild>
                <w:div w:id="1137259654">
                  <w:marLeft w:val="60"/>
                  <w:marRight w:val="60"/>
                  <w:marTop w:val="0"/>
                  <w:marBottom w:val="0"/>
                  <w:divBdr>
                    <w:top w:val="none" w:sz="0" w:space="0" w:color="auto"/>
                    <w:left w:val="none" w:sz="0" w:space="0" w:color="auto"/>
                    <w:bottom w:val="none" w:sz="0" w:space="0" w:color="auto"/>
                    <w:right w:val="none" w:sz="0" w:space="0" w:color="auto"/>
                  </w:divBdr>
                  <w:divsChild>
                    <w:div w:id="1347054615">
                      <w:marLeft w:val="60"/>
                      <w:marRight w:val="60"/>
                      <w:marTop w:val="0"/>
                      <w:marBottom w:val="0"/>
                      <w:divBdr>
                        <w:top w:val="none" w:sz="0" w:space="0" w:color="auto"/>
                        <w:left w:val="none" w:sz="0" w:space="0" w:color="auto"/>
                        <w:bottom w:val="none" w:sz="0" w:space="0" w:color="auto"/>
                        <w:right w:val="none" w:sz="0" w:space="0" w:color="auto"/>
                      </w:divBdr>
                      <w:divsChild>
                        <w:div w:id="686641296">
                          <w:marLeft w:val="60"/>
                          <w:marRight w:val="60"/>
                          <w:marTop w:val="0"/>
                          <w:marBottom w:val="0"/>
                          <w:divBdr>
                            <w:top w:val="none" w:sz="0" w:space="0" w:color="auto"/>
                            <w:left w:val="none" w:sz="0" w:space="0" w:color="auto"/>
                            <w:bottom w:val="none" w:sz="0" w:space="0" w:color="auto"/>
                            <w:right w:val="none" w:sz="0" w:space="0" w:color="auto"/>
                          </w:divBdr>
                          <w:divsChild>
                            <w:div w:id="1435907570">
                              <w:marLeft w:val="0"/>
                              <w:marRight w:val="0"/>
                              <w:marTop w:val="0"/>
                              <w:marBottom w:val="0"/>
                              <w:divBdr>
                                <w:top w:val="none" w:sz="0" w:space="0" w:color="auto"/>
                                <w:left w:val="none" w:sz="0" w:space="0" w:color="auto"/>
                                <w:bottom w:val="none" w:sz="0" w:space="0" w:color="auto"/>
                                <w:right w:val="none" w:sz="0" w:space="0" w:color="auto"/>
                              </w:divBdr>
                              <w:divsChild>
                                <w:div w:id="846481972">
                                  <w:marLeft w:val="0"/>
                                  <w:marRight w:val="0"/>
                                  <w:marTop w:val="0"/>
                                  <w:marBottom w:val="0"/>
                                  <w:divBdr>
                                    <w:top w:val="none" w:sz="0" w:space="0" w:color="auto"/>
                                    <w:left w:val="none" w:sz="0" w:space="0" w:color="auto"/>
                                    <w:bottom w:val="none" w:sz="0" w:space="0" w:color="auto"/>
                                    <w:right w:val="none" w:sz="0" w:space="0" w:color="auto"/>
                                  </w:divBdr>
                                  <w:divsChild>
                                    <w:div w:id="31387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641586">
      <w:bodyDiv w:val="1"/>
      <w:marLeft w:val="0"/>
      <w:marRight w:val="0"/>
      <w:marTop w:val="0"/>
      <w:marBottom w:val="0"/>
      <w:divBdr>
        <w:top w:val="none" w:sz="0" w:space="0" w:color="auto"/>
        <w:left w:val="none" w:sz="0" w:space="0" w:color="auto"/>
        <w:bottom w:val="none" w:sz="0" w:space="0" w:color="auto"/>
        <w:right w:val="none" w:sz="0" w:space="0" w:color="auto"/>
      </w:divBdr>
      <w:divsChild>
        <w:div w:id="1987781771">
          <w:marLeft w:val="0"/>
          <w:marRight w:val="0"/>
          <w:marTop w:val="0"/>
          <w:marBottom w:val="0"/>
          <w:divBdr>
            <w:top w:val="none" w:sz="0" w:space="0" w:color="auto"/>
            <w:left w:val="none" w:sz="0" w:space="0" w:color="auto"/>
            <w:bottom w:val="none" w:sz="0" w:space="0" w:color="auto"/>
            <w:right w:val="none" w:sz="0" w:space="0" w:color="auto"/>
          </w:divBdr>
          <w:divsChild>
            <w:div w:id="578366367">
              <w:marLeft w:val="0"/>
              <w:marRight w:val="0"/>
              <w:marTop w:val="0"/>
              <w:marBottom w:val="0"/>
              <w:divBdr>
                <w:top w:val="none" w:sz="0" w:space="0" w:color="auto"/>
                <w:left w:val="none" w:sz="0" w:space="0" w:color="auto"/>
                <w:bottom w:val="none" w:sz="0" w:space="0" w:color="auto"/>
                <w:right w:val="none" w:sz="0" w:space="0" w:color="auto"/>
              </w:divBdr>
              <w:divsChild>
                <w:div w:id="533084158">
                  <w:marLeft w:val="60"/>
                  <w:marRight w:val="60"/>
                  <w:marTop w:val="0"/>
                  <w:marBottom w:val="0"/>
                  <w:divBdr>
                    <w:top w:val="none" w:sz="0" w:space="0" w:color="auto"/>
                    <w:left w:val="none" w:sz="0" w:space="0" w:color="auto"/>
                    <w:bottom w:val="none" w:sz="0" w:space="0" w:color="auto"/>
                    <w:right w:val="none" w:sz="0" w:space="0" w:color="auto"/>
                  </w:divBdr>
                  <w:divsChild>
                    <w:div w:id="1572733903">
                      <w:marLeft w:val="60"/>
                      <w:marRight w:val="60"/>
                      <w:marTop w:val="0"/>
                      <w:marBottom w:val="0"/>
                      <w:divBdr>
                        <w:top w:val="none" w:sz="0" w:space="0" w:color="auto"/>
                        <w:left w:val="none" w:sz="0" w:space="0" w:color="auto"/>
                        <w:bottom w:val="none" w:sz="0" w:space="0" w:color="auto"/>
                        <w:right w:val="none" w:sz="0" w:space="0" w:color="auto"/>
                      </w:divBdr>
                      <w:divsChild>
                        <w:div w:id="176191559">
                          <w:marLeft w:val="60"/>
                          <w:marRight w:val="60"/>
                          <w:marTop w:val="0"/>
                          <w:marBottom w:val="0"/>
                          <w:divBdr>
                            <w:top w:val="none" w:sz="0" w:space="0" w:color="auto"/>
                            <w:left w:val="none" w:sz="0" w:space="0" w:color="auto"/>
                            <w:bottom w:val="none" w:sz="0" w:space="0" w:color="auto"/>
                            <w:right w:val="none" w:sz="0" w:space="0" w:color="auto"/>
                          </w:divBdr>
                          <w:divsChild>
                            <w:div w:id="210267160">
                              <w:marLeft w:val="0"/>
                              <w:marRight w:val="0"/>
                              <w:marTop w:val="0"/>
                              <w:marBottom w:val="0"/>
                              <w:divBdr>
                                <w:top w:val="none" w:sz="0" w:space="0" w:color="auto"/>
                                <w:left w:val="none" w:sz="0" w:space="0" w:color="auto"/>
                                <w:bottom w:val="none" w:sz="0" w:space="0" w:color="auto"/>
                                <w:right w:val="none" w:sz="0" w:space="0" w:color="auto"/>
                              </w:divBdr>
                              <w:divsChild>
                                <w:div w:id="2137287918">
                                  <w:marLeft w:val="0"/>
                                  <w:marRight w:val="0"/>
                                  <w:marTop w:val="0"/>
                                  <w:marBottom w:val="0"/>
                                  <w:divBdr>
                                    <w:top w:val="none" w:sz="0" w:space="0" w:color="auto"/>
                                    <w:left w:val="none" w:sz="0" w:space="0" w:color="auto"/>
                                    <w:bottom w:val="none" w:sz="0" w:space="0" w:color="auto"/>
                                    <w:right w:val="none" w:sz="0" w:space="0" w:color="auto"/>
                                  </w:divBdr>
                                  <w:divsChild>
                                    <w:div w:id="159963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en.wikipedia.org/wiki/Icelan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n.wikipedia.org/wiki/Liechtenstei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3</Pages>
  <Words>832</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vietnam</dc:creator>
  <cp:lastModifiedBy>vietnam</cp:lastModifiedBy>
  <cp:revision>10</cp:revision>
  <dcterms:created xsi:type="dcterms:W3CDTF">2013-04-08T14:17:00Z</dcterms:created>
  <dcterms:modified xsi:type="dcterms:W3CDTF">2013-04-08T16:43:00Z</dcterms:modified>
</cp:coreProperties>
</file>