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4823" w:rsidRPr="00DA4823" w:rsidRDefault="00DA4823" w:rsidP="00DA4823">
      <w:pPr>
        <w:spacing w:after="150" w:line="240" w:lineRule="auto"/>
        <w:rPr>
          <w:rFonts w:ascii="Arial" w:eastAsia="Times New Roman" w:hAnsi="Arial" w:cs="Arial"/>
          <w:b/>
          <w:bCs/>
          <w:color w:val="494949"/>
          <w:sz w:val="18"/>
          <w:szCs w:val="18"/>
        </w:rPr>
      </w:pPr>
      <w:r w:rsidRPr="00DA4823">
        <w:rPr>
          <w:rFonts w:ascii="Arial" w:eastAsia="Times New Roman" w:hAnsi="Arial" w:cs="Arial"/>
          <w:b/>
          <w:bCs/>
          <w:color w:val="494949"/>
          <w:sz w:val="18"/>
          <w:szCs w:val="18"/>
        </w:rPr>
        <w:t>Nam Phi là một trong những nước có tổ chức bộ máy hành chính nhà nước phát triển, hiện đại và có hiệu quả quản lý tốt trên thế giới. Bộ Công Thương Nam phi là cơ quan của Chính phủ thực hiện quản lý hai lĩnh vực công nghiệp và thương mại. Thương vụ Việt Nam tại Nam phi xin trân trọng giới thiệu cơ cấu tổ chức Bộ Công Thương Nam phi để độc giả tham khảo.</w:t>
      </w:r>
    </w:p>
    <w:p w:rsidR="00DA4823" w:rsidRPr="00DA4823" w:rsidRDefault="00DA4823" w:rsidP="00DA4823">
      <w:pPr>
        <w:spacing w:after="0" w:line="240" w:lineRule="auto"/>
        <w:jc w:val="both"/>
        <w:rPr>
          <w:rFonts w:ascii="Arial" w:eastAsia="Times New Roman" w:hAnsi="Arial" w:cs="Arial"/>
          <w:color w:val="494949"/>
          <w:sz w:val="18"/>
          <w:szCs w:val="18"/>
        </w:rPr>
      </w:pPr>
      <w:r w:rsidRPr="00DA4823">
        <w:rPr>
          <w:rFonts w:ascii="Arial" w:eastAsia="Times New Roman" w:hAnsi="Arial" w:cs="Arial"/>
          <w:b/>
          <w:bCs/>
          <w:color w:val="494949"/>
          <w:sz w:val="18"/>
          <w:szCs w:val="18"/>
        </w:rPr>
        <w:t>C</w:t>
      </w:r>
      <w:r w:rsidRPr="00DA4823">
        <w:rPr>
          <w:rFonts w:ascii="Arial" w:eastAsia="Times New Roman" w:hAnsi="Arial" w:cs="Arial"/>
          <w:b/>
          <w:bCs/>
          <w:color w:val="494949"/>
          <w:sz w:val="18"/>
          <w:szCs w:val="18"/>
          <w:lang w:val="vi-VN"/>
        </w:rPr>
        <w:t>ơ cấu Bộ Công thương Nam phi</w:t>
      </w:r>
    </w:p>
    <w:p w:rsidR="00DA4823" w:rsidRPr="00DA4823" w:rsidRDefault="00DA4823" w:rsidP="00DA4823">
      <w:pPr>
        <w:spacing w:after="0" w:line="240" w:lineRule="auto"/>
        <w:jc w:val="both"/>
        <w:rPr>
          <w:rFonts w:ascii="Arial" w:eastAsia="Times New Roman" w:hAnsi="Arial" w:cs="Arial"/>
          <w:color w:val="494949"/>
          <w:sz w:val="18"/>
          <w:szCs w:val="18"/>
        </w:rPr>
      </w:pPr>
      <w:r w:rsidRPr="00DA4823">
        <w:rPr>
          <w:rFonts w:ascii="Arial" w:eastAsia="Times New Roman" w:hAnsi="Arial" w:cs="Arial"/>
          <w:b/>
          <w:bCs/>
          <w:color w:val="494949"/>
          <w:sz w:val="18"/>
          <w:szCs w:val="18"/>
          <w:lang w:val="vi-VN"/>
        </w:rPr>
        <w:t>I. Lãnh đạo bộ:</w:t>
      </w:r>
      <w:r w:rsidRPr="00DA4823">
        <w:rPr>
          <w:rFonts w:ascii="Arial" w:eastAsia="Times New Roman" w:hAnsi="Arial" w:cs="Arial"/>
          <w:color w:val="494949"/>
          <w:sz w:val="18"/>
          <w:szCs w:val="18"/>
          <w:lang w:val="vi-VN"/>
        </w:rPr>
        <w:t> Bộ trưởng; 02 Thứ trưởng và 01 Tổng vụ trưởng (Director General).</w:t>
      </w:r>
    </w:p>
    <w:p w:rsidR="00DA4823" w:rsidRPr="00DA4823" w:rsidRDefault="00DA4823" w:rsidP="00DA4823">
      <w:pPr>
        <w:spacing w:after="0" w:line="240" w:lineRule="auto"/>
        <w:jc w:val="both"/>
        <w:rPr>
          <w:rFonts w:ascii="Arial" w:eastAsia="Times New Roman" w:hAnsi="Arial" w:cs="Arial"/>
          <w:color w:val="494949"/>
          <w:sz w:val="18"/>
          <w:szCs w:val="18"/>
        </w:rPr>
      </w:pPr>
      <w:r w:rsidRPr="00DA4823">
        <w:rPr>
          <w:rFonts w:ascii="Arial" w:eastAsia="Times New Roman" w:hAnsi="Arial" w:cs="Arial"/>
          <w:b/>
          <w:bCs/>
          <w:color w:val="494949"/>
          <w:sz w:val="18"/>
          <w:szCs w:val="18"/>
          <w:lang w:val="vi-VN"/>
        </w:rPr>
        <w:t>II. Các cơ quan chuyên môn thuộc Bộ:</w:t>
      </w:r>
      <w:r w:rsidRPr="00DA4823">
        <w:rPr>
          <w:rFonts w:ascii="Arial" w:eastAsia="Times New Roman" w:hAnsi="Arial" w:cs="Arial"/>
          <w:color w:val="494949"/>
          <w:sz w:val="18"/>
          <w:szCs w:val="18"/>
          <w:lang w:val="vi-VN"/>
        </w:rPr>
        <w:t> 08 cơ quan (giúp việc và tư vấn cho lãnh đạo bộ), đứng đầu là một Vụ trưởng (Deputy Director General).</w:t>
      </w:r>
    </w:p>
    <w:p w:rsidR="00DA4823" w:rsidRPr="00DA4823" w:rsidRDefault="00DA4823" w:rsidP="00DA4823">
      <w:pPr>
        <w:spacing w:after="0" w:line="240" w:lineRule="auto"/>
        <w:ind w:left="720" w:hanging="360"/>
        <w:jc w:val="both"/>
        <w:rPr>
          <w:rFonts w:ascii="Arial" w:eastAsia="Times New Roman" w:hAnsi="Arial" w:cs="Arial"/>
          <w:color w:val="494949"/>
          <w:sz w:val="18"/>
          <w:szCs w:val="18"/>
        </w:rPr>
      </w:pPr>
      <w:r w:rsidRPr="00DA4823">
        <w:rPr>
          <w:rFonts w:ascii="Arial" w:eastAsia="Times New Roman" w:hAnsi="Arial" w:cs="Arial"/>
          <w:b/>
          <w:bCs/>
          <w:color w:val="494949"/>
          <w:sz w:val="18"/>
          <w:szCs w:val="18"/>
        </w:rPr>
        <w:t>1. Bộ phận Marketing (cấp Vụ, Cục)</w:t>
      </w:r>
    </w:p>
    <w:p w:rsidR="00DA4823" w:rsidRPr="00DA4823" w:rsidRDefault="00DA4823" w:rsidP="00DA4823">
      <w:pPr>
        <w:spacing w:after="0" w:line="240" w:lineRule="auto"/>
        <w:jc w:val="both"/>
        <w:rPr>
          <w:rFonts w:ascii="Arial" w:eastAsia="Times New Roman" w:hAnsi="Arial" w:cs="Arial"/>
          <w:color w:val="494949"/>
          <w:sz w:val="18"/>
          <w:szCs w:val="18"/>
        </w:rPr>
      </w:pPr>
      <w:r w:rsidRPr="00DA4823">
        <w:rPr>
          <w:rFonts w:ascii="Arial" w:eastAsia="Times New Roman" w:hAnsi="Arial" w:cs="Arial"/>
          <w:color w:val="494949"/>
          <w:sz w:val="18"/>
          <w:szCs w:val="18"/>
        </w:rPr>
        <w:t>Xúc tiến quảng bá các sản phẩm dịch vụ công của Bộ Công thương, tuyên truyền quảng cáo vai trò của Bộ công thương trong nền kinh tế và với doanh nghiệp.</w:t>
      </w:r>
    </w:p>
    <w:p w:rsidR="00DA4823" w:rsidRPr="00DA4823" w:rsidRDefault="00DA4823" w:rsidP="00DA4823">
      <w:pPr>
        <w:spacing w:after="0" w:line="240" w:lineRule="auto"/>
        <w:ind w:left="720" w:hanging="360"/>
        <w:jc w:val="both"/>
        <w:rPr>
          <w:rFonts w:ascii="Arial" w:eastAsia="Times New Roman" w:hAnsi="Arial" w:cs="Arial"/>
          <w:color w:val="494949"/>
          <w:sz w:val="18"/>
          <w:szCs w:val="18"/>
        </w:rPr>
      </w:pPr>
      <w:r w:rsidRPr="00DA4823">
        <w:rPr>
          <w:rFonts w:ascii="Arial" w:eastAsia="Times New Roman" w:hAnsi="Arial" w:cs="Arial"/>
          <w:b/>
          <w:bCs/>
          <w:color w:val="494949"/>
          <w:sz w:val="18"/>
          <w:szCs w:val="18"/>
        </w:rPr>
        <w:t>2. Bộ phận Phát triển kinh tế và thương mại quốc tế (cấp Vụ, cục)</w:t>
      </w:r>
    </w:p>
    <w:p w:rsidR="00DA4823" w:rsidRPr="00DA4823" w:rsidRDefault="00DA4823" w:rsidP="00DA4823">
      <w:pPr>
        <w:spacing w:after="0" w:line="240" w:lineRule="auto"/>
        <w:jc w:val="both"/>
        <w:rPr>
          <w:rFonts w:ascii="Arial" w:eastAsia="Times New Roman" w:hAnsi="Arial" w:cs="Arial"/>
          <w:color w:val="494949"/>
          <w:sz w:val="18"/>
          <w:szCs w:val="18"/>
        </w:rPr>
      </w:pPr>
      <w:r w:rsidRPr="00DA4823">
        <w:rPr>
          <w:rFonts w:ascii="Arial" w:eastAsia="Times New Roman" w:hAnsi="Arial" w:cs="Arial"/>
          <w:color w:val="494949"/>
          <w:sz w:val="18"/>
          <w:szCs w:val="18"/>
        </w:rPr>
        <w:t>Phát triển các mối quan hệ thương mại và đầu tư với các nền kinh tế khác, đàm phán hiệp định ưu đãi thương mại, ủng hộ hệ thống thương mại đa phương, thúc đẩy hội nhập kinh tế khu vực trong khuôn khổ Nepad (mở rộng thị trường cho hàng xuất khẩu Nam Phi, tạo thuận lợi cho đầu tư thông qua các hiệp định thương mại tự do, các hiệp định thương mại và đầu tư song phương, hài hòa hóa tiêu chuẩn và thuế quan; ủng hộ phát triển kinh tế của lục địa Phi; bảo vệ lợi ích của Nam Phi trong hệ thống thương mại đa phương; tiến hành phân tích, nghiên cứu kinh tế thương mại toàn cầu; quản lý hệ thống thuế quan của Nam phi; tạo lập mối quan hệ hợp tác giữa chính phủ, khu vực tư nhân và tổ chức xã hội dân sự trong thực thi nhiệm vụ của mình.</w:t>
      </w:r>
    </w:p>
    <w:p w:rsidR="00DA4823" w:rsidRPr="00DA4823" w:rsidRDefault="00DA4823" w:rsidP="00DA4823">
      <w:pPr>
        <w:spacing w:after="0" w:line="240" w:lineRule="auto"/>
        <w:jc w:val="both"/>
        <w:rPr>
          <w:rFonts w:ascii="Arial" w:eastAsia="Times New Roman" w:hAnsi="Arial" w:cs="Arial"/>
          <w:color w:val="494949"/>
          <w:sz w:val="18"/>
          <w:szCs w:val="18"/>
        </w:rPr>
      </w:pPr>
      <w:r w:rsidRPr="00DA4823">
        <w:rPr>
          <w:rFonts w:ascii="Arial" w:eastAsia="Times New Roman" w:hAnsi="Arial" w:cs="Arial"/>
          <w:color w:val="494949"/>
          <w:sz w:val="18"/>
          <w:szCs w:val="18"/>
        </w:rPr>
        <w:t>Cơ quan này phân thành 03 đơn vị chức năng:</w:t>
      </w:r>
    </w:p>
    <w:p w:rsidR="00DA4823" w:rsidRPr="00DA4823" w:rsidRDefault="00DA4823" w:rsidP="00DA4823">
      <w:pPr>
        <w:spacing w:beforeAutospacing="1" w:after="0" w:afterAutospacing="1" w:line="240" w:lineRule="auto"/>
        <w:ind w:left="720" w:hanging="360"/>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 Phòng phát triển thương mại quốc tế (International Trade Development): quản lý việc thực hiện các hiệp định thương mại, đứng đầu là một Phó Vụ trưởng (Chief Director)</w:t>
      </w:r>
    </w:p>
    <w:p w:rsidR="00DA4823" w:rsidRPr="00DA4823" w:rsidRDefault="00DA4823" w:rsidP="00DA4823">
      <w:pPr>
        <w:numPr>
          <w:ilvl w:val="0"/>
          <w:numId w:val="3"/>
        </w:numPr>
        <w:spacing w:after="0" w:line="240" w:lineRule="auto"/>
        <w:ind w:left="360" w:right="360"/>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Phòng phát triển kinh tế châu Phi (African Economic Development): Thúc đẩy thương mại trong khu vực châu Phi, nâng cao năng lực sản xuất và năng lực cạnh tranh của các nền kinh tế châu Phi, tập trung vào việc tạo giá trị gia tăng và kỹ năng, hàm lượng công nghệ trong sản phẩm và tiêu chuẩn; xác định những hạn chế về khả năng cung cấp của thị trường châu phi; đa dạng hóa đối tác thương mại và thị trường; đóng góp vào tiến trình đàm phán chương trình nghị sự về phát triển của châu phi; giữ vai trò lãnh đạo và điều phối việc thực hiện các sáng kiến phát triển kinh tế, thương mại trong khuôn khổ Nepad (Đối tác mới vì sự phát triển châu Phi), đặc biệt là sáng kiến về mở rộng thị trường, tăng cường thương mại giữa các nước châu phi với nhau, đa dạng hóa sản xuất hàng hóa và dịch vụ, điều phối các dự án đầu tư và thương mại nhằm thúc đẩy hội nhập kinh tế khu vực.</w:t>
      </w:r>
    </w:p>
    <w:p w:rsidR="00DA4823" w:rsidRPr="00DA4823" w:rsidRDefault="00DA4823" w:rsidP="00DA4823">
      <w:pPr>
        <w:numPr>
          <w:ilvl w:val="0"/>
          <w:numId w:val="3"/>
        </w:numPr>
        <w:spacing w:after="0" w:line="240" w:lineRule="auto"/>
        <w:ind w:left="360" w:right="360"/>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Phòng quản lý thương mại quốc tế (International Trade Administration): phát triển các mối quan hệ thương mại và đầu tư với các đối tác kinh tế quan trọng, đàm phán các hiệp định ưu đãi thương mại, ủng hộ việc tạo lập một hệ thống thương mại đa phương bình đẳng, quản lý chế độ thuế quan của Nam Phi. ITD là một đơn vị hoạch định chính sách để tạo thuận lợi cho hoạt động kinh tế, thúc đẩy hội nhập kinh tế thế giới. Phòng này (ITD) lại phân nhỏ thành 02 bộ phận (two Chief Directorates): bộ phận quan hệ thương mại song phương (Bilateral Trade relations) và bộ phận chính sách thương mại và đàm phán (Trade Policy and Negotiations).</w:t>
      </w:r>
    </w:p>
    <w:p w:rsidR="00DA4823" w:rsidRPr="00DA4823" w:rsidRDefault="00DA4823" w:rsidP="00DA4823">
      <w:pPr>
        <w:spacing w:beforeAutospacing="1" w:after="0" w:afterAutospacing="1" w:line="240" w:lineRule="auto"/>
        <w:ind w:left="720" w:hanging="360"/>
        <w:jc w:val="both"/>
        <w:textAlignment w:val="top"/>
        <w:rPr>
          <w:rFonts w:ascii="Arial" w:eastAsia="Times New Roman" w:hAnsi="Arial" w:cs="Arial"/>
          <w:color w:val="494949"/>
          <w:sz w:val="18"/>
          <w:szCs w:val="18"/>
        </w:rPr>
      </w:pPr>
      <w:r w:rsidRPr="00DA4823">
        <w:rPr>
          <w:rFonts w:ascii="Arial" w:eastAsia="Times New Roman" w:hAnsi="Arial" w:cs="Arial"/>
          <w:b/>
          <w:bCs/>
          <w:color w:val="494949"/>
          <w:sz w:val="18"/>
          <w:szCs w:val="18"/>
        </w:rPr>
        <w:t>3. Bộ phận nghiên cứu kinh tế và điều phối chính sách (Economic Research and Policy Coordination (ERPC))</w:t>
      </w:r>
    </w:p>
    <w:p w:rsidR="00DA4823" w:rsidRPr="00DA4823" w:rsidRDefault="00DA4823" w:rsidP="00DA4823">
      <w:pPr>
        <w:spacing w:after="0" w:line="240" w:lineRule="auto"/>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Nghiên cứu, phân tích và hoạch định chính sách thương mại, cạnh tranh và chính sách công nghiệp, tăng cường phối hợp giữa các cấp chính quyền và các cơ quan chức năng trong lĩnh vực thương mại và công nghiệp; phân tích dữ liệu thống kê và mô hình hóa chính sách kinh tế (Statistical analysis and economic modelling)</w:t>
      </w:r>
    </w:p>
    <w:p w:rsidR="00DA4823" w:rsidRPr="00DA4823" w:rsidRDefault="00DA4823" w:rsidP="00DA4823">
      <w:pPr>
        <w:spacing w:after="0" w:line="240" w:lineRule="auto"/>
        <w:jc w:val="both"/>
        <w:textAlignment w:val="top"/>
        <w:rPr>
          <w:rFonts w:ascii="Arial" w:eastAsia="Times New Roman" w:hAnsi="Arial" w:cs="Arial"/>
          <w:color w:val="494949"/>
          <w:sz w:val="18"/>
          <w:szCs w:val="18"/>
        </w:rPr>
      </w:pPr>
      <w:r w:rsidRPr="00DA4823">
        <w:rPr>
          <w:rFonts w:ascii="Arial" w:eastAsia="Times New Roman" w:hAnsi="Arial" w:cs="Arial"/>
          <w:b/>
          <w:bCs/>
          <w:color w:val="494949"/>
          <w:sz w:val="18"/>
          <w:szCs w:val="18"/>
        </w:rPr>
        <w:t>ERPC có 05 đơn vị chức năng:</w:t>
      </w:r>
    </w:p>
    <w:p w:rsidR="00DA4823" w:rsidRPr="00DA4823" w:rsidRDefault="00DA4823" w:rsidP="00DA4823">
      <w:pPr>
        <w:numPr>
          <w:ilvl w:val="0"/>
          <w:numId w:val="4"/>
        </w:numPr>
        <w:spacing w:after="0" w:line="240" w:lineRule="auto"/>
        <w:ind w:left="360" w:right="360"/>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Bộ phận điều phối chính sách (</w:t>
      </w:r>
      <w:hyperlink r:id="rId5" w:anchor="1" w:history="1">
        <w:r w:rsidRPr="00DA4823">
          <w:rPr>
            <w:rFonts w:ascii="Arial" w:eastAsia="Times New Roman" w:hAnsi="Arial" w:cs="Arial"/>
            <w:color w:val="0000FF"/>
            <w:sz w:val="18"/>
            <w:szCs w:val="18"/>
            <w:u w:val="single"/>
          </w:rPr>
          <w:t>Policy Coordination (External Relations) Unit)</w:t>
        </w:r>
      </w:hyperlink>
    </w:p>
    <w:p w:rsidR="00DA4823" w:rsidRPr="00DA4823" w:rsidRDefault="00DA4823" w:rsidP="00DA4823">
      <w:pPr>
        <w:numPr>
          <w:ilvl w:val="0"/>
          <w:numId w:val="4"/>
        </w:numPr>
        <w:spacing w:after="0" w:line="240" w:lineRule="auto"/>
        <w:ind w:left="360" w:right="360"/>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Bộ phận quản lý và phân tích chính sách (</w:t>
      </w:r>
      <w:hyperlink r:id="rId6" w:anchor="2" w:history="1">
        <w:r w:rsidRPr="00DA4823">
          <w:rPr>
            <w:rFonts w:ascii="Arial" w:eastAsia="Times New Roman" w:hAnsi="Arial" w:cs="Arial"/>
            <w:color w:val="0000FF"/>
            <w:sz w:val="18"/>
            <w:szCs w:val="18"/>
            <w:u w:val="single"/>
          </w:rPr>
          <w:t>Policy Analysis and Management Unit)</w:t>
        </w:r>
      </w:hyperlink>
    </w:p>
    <w:p w:rsidR="00DA4823" w:rsidRPr="00DA4823" w:rsidRDefault="00DA4823" w:rsidP="00DA4823">
      <w:pPr>
        <w:numPr>
          <w:ilvl w:val="0"/>
          <w:numId w:val="4"/>
        </w:numPr>
        <w:spacing w:after="0" w:line="240" w:lineRule="auto"/>
        <w:ind w:left="360" w:right="360"/>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Bộ phận nghiên cứu tác động của chính sách (</w:t>
      </w:r>
      <w:hyperlink r:id="rId7" w:anchor="3" w:history="1">
        <w:r w:rsidRPr="00DA4823">
          <w:rPr>
            <w:rFonts w:ascii="Arial" w:eastAsia="Times New Roman" w:hAnsi="Arial" w:cs="Arial"/>
            <w:color w:val="0000FF"/>
            <w:sz w:val="18"/>
            <w:szCs w:val="18"/>
            <w:u w:val="single"/>
          </w:rPr>
          <w:t>Impact Assessment Unit)</w:t>
        </w:r>
      </w:hyperlink>
    </w:p>
    <w:p w:rsidR="00DA4823" w:rsidRPr="00DA4823" w:rsidRDefault="00DA4823" w:rsidP="00DA4823">
      <w:pPr>
        <w:numPr>
          <w:ilvl w:val="0"/>
          <w:numId w:val="4"/>
        </w:numPr>
        <w:spacing w:after="0" w:line="240" w:lineRule="auto"/>
        <w:ind w:left="360" w:right="360"/>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Bộ phận nghiên cứu mô hình hóa chính sách kinh tế và phân tích dữ liệu thống kê (</w:t>
      </w:r>
      <w:hyperlink r:id="rId8" w:anchor="4" w:history="1">
        <w:r w:rsidRPr="00DA4823">
          <w:rPr>
            <w:rFonts w:ascii="Arial" w:eastAsia="Times New Roman" w:hAnsi="Arial" w:cs="Arial"/>
            <w:color w:val="0000FF"/>
            <w:sz w:val="18"/>
            <w:szCs w:val="18"/>
            <w:u w:val="single"/>
          </w:rPr>
          <w:t>Statistical Analysis and Modeling Unit)</w:t>
        </w:r>
      </w:hyperlink>
    </w:p>
    <w:p w:rsidR="00DA4823" w:rsidRPr="00DA4823" w:rsidRDefault="00DA4823" w:rsidP="00DA4823">
      <w:pPr>
        <w:numPr>
          <w:ilvl w:val="0"/>
          <w:numId w:val="4"/>
        </w:numPr>
        <w:spacing w:after="0" w:line="240" w:lineRule="auto"/>
        <w:ind w:left="360" w:right="360"/>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Bộ phận quản lý nghiên cứu (Research Management Unit)</w:t>
      </w:r>
    </w:p>
    <w:p w:rsidR="00DA4823" w:rsidRPr="00DA4823" w:rsidRDefault="00DA4823" w:rsidP="00DA4823">
      <w:pPr>
        <w:spacing w:beforeAutospacing="1" w:after="0" w:afterAutospacing="1" w:line="240" w:lineRule="auto"/>
        <w:ind w:left="720" w:hanging="360"/>
        <w:jc w:val="both"/>
        <w:textAlignment w:val="top"/>
        <w:rPr>
          <w:rFonts w:ascii="Arial" w:eastAsia="Times New Roman" w:hAnsi="Arial" w:cs="Arial"/>
          <w:color w:val="494949"/>
          <w:sz w:val="18"/>
          <w:szCs w:val="18"/>
        </w:rPr>
      </w:pPr>
      <w:bookmarkStart w:id="0" w:name="#1"/>
      <w:bookmarkEnd w:id="0"/>
      <w:r w:rsidRPr="00DA4823">
        <w:rPr>
          <w:rFonts w:ascii="Arial" w:eastAsia="Times New Roman" w:hAnsi="Arial" w:cs="Arial"/>
          <w:b/>
          <w:bCs/>
          <w:color w:val="494949"/>
          <w:sz w:val="18"/>
          <w:szCs w:val="18"/>
        </w:rPr>
        <w:t>4. Bộ phận Dịch vụ hỗ trợ và quản lý hệ thống (Group Systems and Support Services Division (GSSSD))</w:t>
      </w:r>
    </w:p>
    <w:p w:rsidR="00DA4823" w:rsidRPr="00DA4823" w:rsidRDefault="00DA4823" w:rsidP="00DA4823">
      <w:pPr>
        <w:spacing w:after="0" w:line="240" w:lineRule="auto"/>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Thiết kế và thực hiện hệ thống quản lý sự vận hành của bộ công thương, bảo đảm rằng bộ công thương sẽ hoàn thành mục tiêu của mình và tuân thủ pháp luật.</w:t>
      </w:r>
    </w:p>
    <w:p w:rsidR="00DA4823" w:rsidRPr="00DA4823" w:rsidRDefault="00DA4823" w:rsidP="00DA4823">
      <w:pPr>
        <w:spacing w:after="0" w:line="240" w:lineRule="auto"/>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GSSSD thực hiện chức năng quản trị nhân lực, tài vụ, công nghệ thông tin, tuân thủ quy định pháp luật và chức năng quản lý cơ quan khác trong phạm vi bộ công thương.</w:t>
      </w:r>
    </w:p>
    <w:p w:rsidR="00DA4823" w:rsidRPr="00DA4823" w:rsidRDefault="00DA4823" w:rsidP="00DA4823">
      <w:pPr>
        <w:spacing w:after="0" w:line="240" w:lineRule="auto"/>
        <w:jc w:val="both"/>
        <w:textAlignment w:val="top"/>
        <w:rPr>
          <w:rFonts w:ascii="Arial" w:eastAsia="Times New Roman" w:hAnsi="Arial" w:cs="Arial"/>
          <w:color w:val="494949"/>
          <w:sz w:val="18"/>
          <w:szCs w:val="18"/>
        </w:rPr>
      </w:pPr>
      <w:r w:rsidRPr="00DA4823">
        <w:rPr>
          <w:rFonts w:ascii="Arial" w:eastAsia="Times New Roman" w:hAnsi="Arial" w:cs="Arial"/>
          <w:b/>
          <w:bCs/>
          <w:color w:val="494949"/>
          <w:sz w:val="18"/>
          <w:szCs w:val="18"/>
        </w:rPr>
        <w:t> </w:t>
      </w:r>
    </w:p>
    <w:p w:rsidR="00DA4823" w:rsidRPr="00DA4823" w:rsidRDefault="00DA4823" w:rsidP="00DA4823">
      <w:pPr>
        <w:spacing w:beforeAutospacing="1" w:after="0" w:afterAutospacing="1" w:line="240" w:lineRule="auto"/>
        <w:ind w:left="720" w:hanging="360"/>
        <w:jc w:val="both"/>
        <w:textAlignment w:val="top"/>
        <w:rPr>
          <w:rFonts w:ascii="Arial" w:eastAsia="Times New Roman" w:hAnsi="Arial" w:cs="Arial"/>
          <w:color w:val="494949"/>
          <w:sz w:val="18"/>
          <w:szCs w:val="18"/>
        </w:rPr>
      </w:pPr>
      <w:r w:rsidRPr="00DA4823">
        <w:rPr>
          <w:rFonts w:ascii="Arial" w:eastAsia="Times New Roman" w:hAnsi="Arial" w:cs="Arial"/>
          <w:b/>
          <w:bCs/>
          <w:color w:val="494949"/>
          <w:sz w:val="18"/>
          <w:szCs w:val="18"/>
        </w:rPr>
        <w:t>5. Bộ phận phát triển công nghiệp và phát triển doanh nghiệp (Enterprise and Industrial Development Division (EIDD))</w:t>
      </w:r>
    </w:p>
    <w:p w:rsidR="00DA4823" w:rsidRPr="00DA4823" w:rsidRDefault="00DA4823" w:rsidP="00DA4823">
      <w:pPr>
        <w:spacing w:after="0" w:line="240" w:lineRule="auto"/>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lastRenderedPageBreak/>
        <w:t>Xây dựng chính sách và chiến lược nhằm tạo lập môi trường kinh doanh bình đẳng, bảo đảm nguyên tắc cạnh tranh và phát triển doanh nghiệp; tạo điều kiện hỗ trợ doanh nhân là người da đen, phụ nữ, hỗ trợ các ngành công nghiệp mới; xây dựng chính sách khung về tiêu chuẩn công nghiệp, trong đó có phương pháp sản xuất mang tính bền vững về mặt xã hội và môi trường; xây dựng chính sách phát triển kỹ năng nghề, công nghệ và cơ sở hạ tầng.</w:t>
      </w:r>
    </w:p>
    <w:p w:rsidR="00DA4823" w:rsidRPr="00DA4823" w:rsidRDefault="00DA4823" w:rsidP="00DA4823">
      <w:pPr>
        <w:spacing w:beforeAutospacing="1" w:after="0" w:afterAutospacing="1" w:line="240" w:lineRule="auto"/>
        <w:ind w:left="720" w:hanging="360"/>
        <w:jc w:val="both"/>
        <w:textAlignment w:val="top"/>
        <w:rPr>
          <w:rFonts w:ascii="Arial" w:eastAsia="Times New Roman" w:hAnsi="Arial" w:cs="Arial"/>
          <w:color w:val="494949"/>
          <w:sz w:val="18"/>
          <w:szCs w:val="18"/>
        </w:rPr>
      </w:pPr>
      <w:r w:rsidRPr="00DA4823">
        <w:rPr>
          <w:rFonts w:ascii="Arial" w:eastAsia="Times New Roman" w:hAnsi="Arial" w:cs="Arial"/>
          <w:b/>
          <w:bCs/>
          <w:color w:val="494949"/>
          <w:sz w:val="18"/>
          <w:szCs w:val="18"/>
        </w:rPr>
        <w:t>6. Bộ phận Thương mại và Đầu tư Nam Phi (Trade and Investment South Africa)(cấp Vụ, Cục)</w:t>
      </w:r>
    </w:p>
    <w:p w:rsidR="00DA4823" w:rsidRPr="00DA4823" w:rsidRDefault="00DA4823" w:rsidP="00DA4823">
      <w:pPr>
        <w:spacing w:after="0" w:line="240" w:lineRule="auto"/>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Xúc tiến xuất khẩu vào các thị trường mục tiêu, tăng thu hút đầu tư trong nước và đầu tư nước ngoài, quản lý hệ thống cơ quan đại diện của bộ công thương ở nước ngoài.</w:t>
      </w:r>
    </w:p>
    <w:p w:rsidR="00DA4823" w:rsidRPr="00DA4823" w:rsidRDefault="00DA4823" w:rsidP="00DA4823">
      <w:pPr>
        <w:spacing w:after="0" w:line="240" w:lineRule="auto"/>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Trade and Investment South Africa có 03 đơn vị chức năng</w:t>
      </w:r>
    </w:p>
    <w:p w:rsidR="00DA4823" w:rsidRPr="00DA4823" w:rsidRDefault="00DA4823" w:rsidP="00DA4823">
      <w:pPr>
        <w:numPr>
          <w:ilvl w:val="0"/>
          <w:numId w:val="5"/>
        </w:numPr>
        <w:spacing w:after="0" w:line="240" w:lineRule="auto"/>
        <w:ind w:left="360" w:right="360"/>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Xúc tiến và tạo thuận lợi cho đầu tư (</w:t>
      </w:r>
      <w:hyperlink r:id="rId9" w:anchor="invest" w:history="1">
        <w:r w:rsidRPr="00DA4823">
          <w:rPr>
            <w:rFonts w:ascii="Arial" w:eastAsia="Times New Roman" w:hAnsi="Arial" w:cs="Arial"/>
            <w:color w:val="0000FF"/>
            <w:sz w:val="18"/>
            <w:szCs w:val="18"/>
            <w:u w:val="single"/>
          </w:rPr>
          <w:t>Investment Promotion and Facilitation</w:t>
        </w:r>
      </w:hyperlink>
      <w:r w:rsidRPr="00DA4823">
        <w:rPr>
          <w:rFonts w:ascii="Arial" w:eastAsia="Times New Roman" w:hAnsi="Arial" w:cs="Arial"/>
          <w:color w:val="494949"/>
          <w:sz w:val="18"/>
          <w:szCs w:val="18"/>
        </w:rPr>
        <w:t>)</w:t>
      </w:r>
    </w:p>
    <w:p w:rsidR="00DA4823" w:rsidRPr="00DA4823" w:rsidRDefault="00DA4823" w:rsidP="00DA4823">
      <w:pPr>
        <w:numPr>
          <w:ilvl w:val="0"/>
          <w:numId w:val="5"/>
        </w:numPr>
        <w:spacing w:after="0" w:line="240" w:lineRule="auto"/>
        <w:ind w:left="360" w:right="360"/>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Xúc tiến xuất khẩu (</w:t>
      </w:r>
      <w:hyperlink r:id="rId10" w:anchor="export" w:history="1">
        <w:r w:rsidRPr="00DA4823">
          <w:rPr>
            <w:rFonts w:ascii="Arial" w:eastAsia="Times New Roman" w:hAnsi="Arial" w:cs="Arial"/>
            <w:color w:val="0000FF"/>
            <w:sz w:val="18"/>
            <w:szCs w:val="18"/>
            <w:u w:val="single"/>
          </w:rPr>
          <w:t>Export Development and Promotion</w:t>
        </w:r>
      </w:hyperlink>
      <w:r w:rsidRPr="00DA4823">
        <w:rPr>
          <w:rFonts w:ascii="Arial" w:eastAsia="Times New Roman" w:hAnsi="Arial" w:cs="Arial"/>
          <w:color w:val="494949"/>
          <w:sz w:val="18"/>
          <w:szCs w:val="18"/>
        </w:rPr>
        <w:t>)</w:t>
      </w:r>
    </w:p>
    <w:p w:rsidR="00DA4823" w:rsidRPr="00DA4823" w:rsidRDefault="00DA4823" w:rsidP="00DA4823">
      <w:pPr>
        <w:numPr>
          <w:ilvl w:val="0"/>
          <w:numId w:val="5"/>
        </w:numPr>
        <w:spacing w:after="0" w:line="240" w:lineRule="auto"/>
        <w:ind w:left="360" w:right="360"/>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Quản lý hệ thống cơ quan đại diện ơ nước ngoài (</w:t>
      </w:r>
      <w:hyperlink r:id="rId11" w:anchor="inter" w:history="1">
        <w:r w:rsidRPr="00DA4823">
          <w:rPr>
            <w:rFonts w:ascii="Arial" w:eastAsia="Times New Roman" w:hAnsi="Arial" w:cs="Arial"/>
            <w:color w:val="0000FF"/>
            <w:sz w:val="18"/>
            <w:szCs w:val="18"/>
            <w:u w:val="single"/>
          </w:rPr>
          <w:t>International Operations</w:t>
        </w:r>
      </w:hyperlink>
      <w:r w:rsidRPr="00DA4823">
        <w:rPr>
          <w:rFonts w:ascii="Arial" w:eastAsia="Times New Roman" w:hAnsi="Arial" w:cs="Arial"/>
          <w:color w:val="494949"/>
          <w:sz w:val="18"/>
          <w:szCs w:val="18"/>
        </w:rPr>
        <w:t>)</w:t>
      </w:r>
    </w:p>
    <w:p w:rsidR="00DA4823" w:rsidRPr="00DA4823" w:rsidRDefault="00DA4823" w:rsidP="00DA4823">
      <w:pPr>
        <w:spacing w:beforeAutospacing="1" w:after="0" w:afterAutospacing="1" w:line="240" w:lineRule="auto"/>
        <w:ind w:left="720" w:hanging="360"/>
        <w:jc w:val="both"/>
        <w:textAlignment w:val="top"/>
        <w:rPr>
          <w:rFonts w:ascii="Arial" w:eastAsia="Times New Roman" w:hAnsi="Arial" w:cs="Arial"/>
          <w:color w:val="494949"/>
          <w:sz w:val="18"/>
          <w:szCs w:val="18"/>
        </w:rPr>
      </w:pPr>
      <w:bookmarkStart w:id="1" w:name="invest"/>
      <w:bookmarkEnd w:id="1"/>
      <w:r w:rsidRPr="00DA4823">
        <w:rPr>
          <w:rFonts w:ascii="Arial" w:eastAsia="Times New Roman" w:hAnsi="Arial" w:cs="Arial"/>
          <w:b/>
          <w:bCs/>
          <w:color w:val="494949"/>
          <w:sz w:val="18"/>
          <w:szCs w:val="18"/>
        </w:rPr>
        <w:t>7. Bộ phận bảo vệ người tiêu dùng và pháp chế (Consumer and Corporate Regulation Division)</w:t>
      </w:r>
    </w:p>
    <w:p w:rsidR="00DA4823" w:rsidRPr="00DA4823" w:rsidRDefault="00DA4823" w:rsidP="00DA4823">
      <w:pPr>
        <w:spacing w:after="0" w:line="240" w:lineRule="auto"/>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Hỗ trợ các doanh nhân là người da đen và các nhóm bị bất lợi khác; tạo môi trường kinh doanh minh bạch, có thể dự đoán được, đảm bảo cạnh tranh, trách nhiệm xã hội, xây dựng niềm tin của nhà đầu tư.</w:t>
      </w:r>
    </w:p>
    <w:p w:rsidR="00DA4823" w:rsidRPr="00DA4823" w:rsidRDefault="00DA4823" w:rsidP="00DA4823">
      <w:pPr>
        <w:spacing w:after="0" w:line="240" w:lineRule="auto"/>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CCRD có 03 đơn vị: Pháp chế và chính sách; Tuân thủ pháp luật và dịch vụ pháp luật.</w:t>
      </w:r>
    </w:p>
    <w:p w:rsidR="00DA4823" w:rsidRPr="00DA4823" w:rsidRDefault="00DA4823" w:rsidP="00DA4823">
      <w:pPr>
        <w:spacing w:beforeAutospacing="1" w:after="0" w:afterAutospacing="1" w:line="240" w:lineRule="auto"/>
        <w:ind w:left="720" w:hanging="360"/>
        <w:jc w:val="both"/>
        <w:textAlignment w:val="top"/>
        <w:rPr>
          <w:rFonts w:ascii="Arial" w:eastAsia="Times New Roman" w:hAnsi="Arial" w:cs="Arial"/>
          <w:color w:val="494949"/>
          <w:sz w:val="18"/>
          <w:szCs w:val="18"/>
        </w:rPr>
      </w:pPr>
      <w:r w:rsidRPr="00DA4823">
        <w:rPr>
          <w:rFonts w:ascii="Arial" w:eastAsia="Times New Roman" w:hAnsi="Arial" w:cs="Arial"/>
          <w:b/>
          <w:bCs/>
          <w:color w:val="494949"/>
          <w:sz w:val="18"/>
          <w:szCs w:val="18"/>
        </w:rPr>
        <w:t>8. Bộ phận tổ chức doanh nghiệp (The Enterprise Organisation Division)</w:t>
      </w:r>
    </w:p>
    <w:p w:rsidR="00DA4823" w:rsidRPr="00DA4823" w:rsidRDefault="00DA4823" w:rsidP="00DA4823">
      <w:pPr>
        <w:spacing w:after="0" w:line="240" w:lineRule="auto"/>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Xây dựng chính sách hỗ trợ doanh nghiệp như trợ cấp, hỗ trợ tài chính, miễn giảm thuế.</w:t>
      </w:r>
    </w:p>
    <w:p w:rsidR="00DA4823" w:rsidRPr="00DA4823" w:rsidRDefault="00DA4823" w:rsidP="00DA4823">
      <w:pPr>
        <w:spacing w:after="0" w:line="240" w:lineRule="auto"/>
        <w:jc w:val="both"/>
        <w:rPr>
          <w:rFonts w:ascii="Arial" w:eastAsia="Times New Roman" w:hAnsi="Arial" w:cs="Arial"/>
          <w:color w:val="494949"/>
          <w:sz w:val="18"/>
          <w:szCs w:val="18"/>
        </w:rPr>
      </w:pPr>
      <w:r w:rsidRPr="00DA4823">
        <w:rPr>
          <w:rFonts w:ascii="Arial" w:eastAsia="Times New Roman" w:hAnsi="Arial" w:cs="Arial"/>
          <w:b/>
          <w:bCs/>
          <w:color w:val="494949"/>
          <w:sz w:val="18"/>
          <w:szCs w:val="18"/>
        </w:rPr>
        <w:t>III. Các cơ quan trong hệ thống bộ công thương (the dti Group)</w:t>
      </w:r>
    </w:p>
    <w:p w:rsidR="00DA4823" w:rsidRPr="00DA4823" w:rsidRDefault="00DA4823" w:rsidP="00DA4823">
      <w:pPr>
        <w:spacing w:after="0" w:line="240" w:lineRule="auto"/>
        <w:jc w:val="both"/>
        <w:rPr>
          <w:rFonts w:ascii="Arial" w:eastAsia="Times New Roman" w:hAnsi="Arial" w:cs="Arial"/>
          <w:color w:val="494949"/>
          <w:sz w:val="18"/>
          <w:szCs w:val="18"/>
        </w:rPr>
      </w:pPr>
      <w:r w:rsidRPr="00DA4823">
        <w:rPr>
          <w:rFonts w:ascii="Arial" w:eastAsia="Times New Roman" w:hAnsi="Arial" w:cs="Arial"/>
          <w:b/>
          <w:bCs/>
          <w:color w:val="494949"/>
          <w:sz w:val="18"/>
          <w:szCs w:val="18"/>
        </w:rPr>
        <w:t>1. Hội đồng các cơ quan thương mại và công nghiệp (The Council of Trade and Industry Institutions (COTII))</w:t>
      </w:r>
    </w:p>
    <w:p w:rsidR="00DA4823" w:rsidRPr="00DA4823" w:rsidRDefault="00DA4823" w:rsidP="00DA4823">
      <w:pPr>
        <w:spacing w:after="0" w:line="240" w:lineRule="auto"/>
        <w:jc w:val="both"/>
        <w:rPr>
          <w:rFonts w:ascii="Arial" w:eastAsia="Times New Roman" w:hAnsi="Arial" w:cs="Arial"/>
          <w:color w:val="494949"/>
          <w:sz w:val="18"/>
          <w:szCs w:val="18"/>
        </w:rPr>
      </w:pPr>
      <w:r w:rsidRPr="00DA4823">
        <w:rPr>
          <w:rFonts w:ascii="Arial" w:eastAsia="Times New Roman" w:hAnsi="Arial" w:cs="Arial"/>
          <w:color w:val="494949"/>
          <w:sz w:val="18"/>
          <w:szCs w:val="18"/>
        </w:rPr>
        <w:t>40% ngân sách của Bộ Công thương được cấp cho hệ thống các cơ quan điều tiết trong khuôn khổ hệ thống bộ công thương. Các cơ quan này bao gồm các cơ quan tài chính như Quỹ Khula, Cơ quan phát triển doanh nghiệp nhỏ SEDA. Hội đồng các cơ quan thương mại và công nghiệp (</w:t>
      </w:r>
      <w:r w:rsidRPr="00DA4823">
        <w:rPr>
          <w:rFonts w:ascii="Arial" w:eastAsia="Times New Roman" w:hAnsi="Arial" w:cs="Arial"/>
          <w:b/>
          <w:bCs/>
          <w:color w:val="494949"/>
          <w:sz w:val="18"/>
          <w:szCs w:val="18"/>
        </w:rPr>
        <w:t>The Council of Trade and Industry Institutions (COTII)) được thiết lập để bảo đảm việc phối hợp nhịp nhàng và thực hiện đồng bộ các hoạt động của hệ thống cơ quan Bộ công thương.</w:t>
      </w:r>
    </w:p>
    <w:p w:rsidR="00DA4823" w:rsidRPr="00DA4823" w:rsidRDefault="00DA4823" w:rsidP="00DA4823">
      <w:pPr>
        <w:spacing w:after="0" w:line="240" w:lineRule="auto"/>
        <w:jc w:val="both"/>
        <w:textAlignment w:val="top"/>
        <w:outlineLvl w:val="0"/>
        <w:rPr>
          <w:rFonts w:ascii="Arial" w:eastAsia="Times New Roman" w:hAnsi="Arial" w:cs="Arial"/>
          <w:b/>
          <w:bCs/>
          <w:color w:val="494949"/>
          <w:kern w:val="36"/>
          <w:sz w:val="48"/>
          <w:szCs w:val="48"/>
        </w:rPr>
      </w:pPr>
      <w:r w:rsidRPr="00DA4823">
        <w:rPr>
          <w:rFonts w:ascii="Arial" w:eastAsia="Times New Roman" w:hAnsi="Arial" w:cs="Arial"/>
          <w:b/>
          <w:bCs/>
          <w:color w:val="494949"/>
          <w:kern w:val="36"/>
          <w:sz w:val="18"/>
          <w:szCs w:val="18"/>
        </w:rPr>
        <w:t>2. Hệ thống cơ quan bộ công thương bao gồm 05 nhóm cơ quan</w:t>
      </w:r>
    </w:p>
    <w:p w:rsidR="00DA4823" w:rsidRPr="00DA4823" w:rsidRDefault="00DA4823" w:rsidP="00DA4823">
      <w:pPr>
        <w:spacing w:after="0" w:line="240" w:lineRule="auto"/>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a) các thể chế tài chính phát triển (</w:t>
      </w:r>
      <w:hyperlink r:id="rId12" w:history="1">
        <w:r w:rsidRPr="00DA4823">
          <w:rPr>
            <w:rFonts w:ascii="Arial" w:eastAsia="Times New Roman" w:hAnsi="Arial" w:cs="Arial"/>
            <w:color w:val="CC3300"/>
            <w:sz w:val="18"/>
            <w:szCs w:val="18"/>
            <w:u w:val="single"/>
          </w:rPr>
          <w:t>Development Finance Institutions</w:t>
        </w:r>
      </w:hyperlink>
      <w:r w:rsidRPr="00DA4823">
        <w:rPr>
          <w:rFonts w:ascii="Arial" w:eastAsia="Times New Roman" w:hAnsi="Arial" w:cs="Arial"/>
          <w:color w:val="494949"/>
          <w:sz w:val="18"/>
          <w:szCs w:val="18"/>
        </w:rPr>
        <w:t>): Quỹ APEX, quỹ Khula, Quỹ hỗ trợ doanh nghiệp là người da đen và phụ nữ, Tổng công ty phát triển công nghiệp, Tổng công ty bảo hiểm tín dụng xuất khẩu.</w:t>
      </w:r>
    </w:p>
    <w:p w:rsidR="00DA4823" w:rsidRPr="00DA4823" w:rsidRDefault="00DA4823" w:rsidP="00DA4823">
      <w:pPr>
        <w:spacing w:after="0" w:line="240" w:lineRule="auto"/>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b) cơ quan phát triển doanh nghiệp nhỏ SEDA</w:t>
      </w:r>
    </w:p>
    <w:p w:rsidR="00DA4823" w:rsidRPr="00DA4823" w:rsidRDefault="00DA4823" w:rsidP="00DA4823">
      <w:pPr>
        <w:spacing w:after="0" w:line="240" w:lineRule="auto"/>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c) cơ quan điều tiết: Cipro (quản lý đăng ký kinh doanh, bản quyền, sở hữu trí tuệ); Ủy ban cạnh tranh (competition commission); tòa án cạnh tranh (competition tribunal); Ban quản lý đánh bạc (National Gambling Board of South Africa); Ban quản lý sổ xố (National Lotteries Board); cơ quan quản lý tín dụng quốc gia (The National Credit Regulator); Ban quản lý ngành bất động sản (The Estate Agency Affairs Board); Ủy ban quốc gia về quản lý thương mại quốc tế (International Trade Administration Commission of South Africa-điều tra thuế quan, biện pháp giải quyết thương mại bất bình đẳng, kiểm soát xuất nhập khẩu); tòa án người tiêu dung quốc gia (The National Consumer Tribunal);</w:t>
      </w:r>
    </w:p>
    <w:p w:rsidR="00DA4823" w:rsidRPr="00DA4823" w:rsidRDefault="00DA4823" w:rsidP="00DA4823">
      <w:pPr>
        <w:spacing w:after="0" w:line="240" w:lineRule="auto"/>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d) cơ quan tiêu chuẩn và công nghệ: Viện đo lường quốc gia (National Metrology Institute of South Africa); Cục tiêu chuẩn nam phi (SABS)</w:t>
      </w:r>
    </w:p>
    <w:p w:rsidR="00DA4823" w:rsidRPr="00DA4823" w:rsidRDefault="00DA4823" w:rsidP="00DA4823">
      <w:pPr>
        <w:spacing w:line="240" w:lineRule="auto"/>
        <w:jc w:val="both"/>
        <w:textAlignment w:val="top"/>
        <w:rPr>
          <w:rFonts w:ascii="Arial" w:eastAsia="Times New Roman" w:hAnsi="Arial" w:cs="Arial"/>
          <w:color w:val="494949"/>
          <w:sz w:val="18"/>
          <w:szCs w:val="18"/>
        </w:rPr>
      </w:pPr>
      <w:r w:rsidRPr="00DA4823">
        <w:rPr>
          <w:rFonts w:ascii="Arial" w:eastAsia="Times New Roman" w:hAnsi="Arial" w:cs="Arial"/>
          <w:color w:val="494949"/>
          <w:sz w:val="18"/>
          <w:szCs w:val="18"/>
        </w:rPr>
        <w:t>e) Các chương trình: Công nghệ dành cho phụ nữ làm kinh doanh (Technology for Women in Busines); công nghệ và nhân lực cho công nghiệp (Technology and Human Resources for Industry Programme);</w:t>
      </w:r>
    </w:p>
    <w:p w:rsidR="005F6B5C" w:rsidRPr="00DA4823" w:rsidRDefault="005F6B5C" w:rsidP="00DA4823">
      <w:bookmarkStart w:id="2" w:name="_GoBack"/>
      <w:bookmarkEnd w:id="2"/>
    </w:p>
    <w:sectPr w:rsidR="005F6B5C" w:rsidRPr="00DA4823"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FB2C9C"/>
    <w:multiLevelType w:val="multilevel"/>
    <w:tmpl w:val="1FA0A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339455E"/>
    <w:multiLevelType w:val="multilevel"/>
    <w:tmpl w:val="F2204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4F0776"/>
    <w:multiLevelType w:val="multilevel"/>
    <w:tmpl w:val="B4EC3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C30787"/>
    <w:multiLevelType w:val="multilevel"/>
    <w:tmpl w:val="DB98E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3020717"/>
    <w:multiLevelType w:val="multilevel"/>
    <w:tmpl w:val="43C8D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296"/>
    <w:rsid w:val="001C7F1F"/>
    <w:rsid w:val="00262ADE"/>
    <w:rsid w:val="00277539"/>
    <w:rsid w:val="00306A99"/>
    <w:rsid w:val="003740F2"/>
    <w:rsid w:val="003C1C97"/>
    <w:rsid w:val="00504296"/>
    <w:rsid w:val="00534D29"/>
    <w:rsid w:val="005D7F6E"/>
    <w:rsid w:val="005F6B5C"/>
    <w:rsid w:val="00760A81"/>
    <w:rsid w:val="00836EF9"/>
    <w:rsid w:val="00A14FA2"/>
    <w:rsid w:val="00C30A8F"/>
    <w:rsid w:val="00CF5A12"/>
    <w:rsid w:val="00D3648C"/>
    <w:rsid w:val="00DA4823"/>
    <w:rsid w:val="00DE1C3C"/>
    <w:rsid w:val="00F11F33"/>
    <w:rsid w:val="00FB7C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62B444-7DD2-4403-A3CF-944B299C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A4823"/>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429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504296"/>
    <w:rPr>
      <w:i/>
      <w:iCs/>
    </w:rPr>
  </w:style>
  <w:style w:type="character" w:styleId="Strong">
    <w:name w:val="Strong"/>
    <w:basedOn w:val="DefaultParagraphFont"/>
    <w:uiPriority w:val="22"/>
    <w:qFormat/>
    <w:rsid w:val="00504296"/>
    <w:rPr>
      <w:b/>
      <w:bCs/>
    </w:rPr>
  </w:style>
  <w:style w:type="character" w:styleId="Hyperlink">
    <w:name w:val="Hyperlink"/>
    <w:basedOn w:val="DefaultParagraphFont"/>
    <w:uiPriority w:val="99"/>
    <w:semiHidden/>
    <w:unhideWhenUsed/>
    <w:rsid w:val="00504296"/>
    <w:rPr>
      <w:color w:val="0000FF"/>
      <w:u w:val="single"/>
    </w:rPr>
  </w:style>
  <w:style w:type="character" w:customStyle="1" w:styleId="contentnormal">
    <w:name w:val="contentnormal"/>
    <w:basedOn w:val="DefaultParagraphFont"/>
    <w:rsid w:val="003C1C97"/>
  </w:style>
  <w:style w:type="character" w:customStyle="1" w:styleId="Heading1Char">
    <w:name w:val="Heading 1 Char"/>
    <w:basedOn w:val="DefaultParagraphFont"/>
    <w:link w:val="Heading1"/>
    <w:uiPriority w:val="9"/>
    <w:rsid w:val="00DA4823"/>
    <w:rPr>
      <w:rFonts w:eastAsia="Times New Roman" w:cs="Times New Roman"/>
      <w:b/>
      <w:bCs/>
      <w:kern w:val="36"/>
      <w:sz w:val="48"/>
      <w:szCs w:val="48"/>
    </w:rPr>
  </w:style>
  <w:style w:type="paragraph" w:styleId="ListParagraph">
    <w:name w:val="List Paragraph"/>
    <w:basedOn w:val="Normal"/>
    <w:uiPriority w:val="34"/>
    <w:qFormat/>
    <w:rsid w:val="00DA4823"/>
    <w:pPr>
      <w:spacing w:before="100" w:beforeAutospacing="1" w:after="100" w:afterAutospacing="1" w:line="240" w:lineRule="auto"/>
    </w:pPr>
    <w:rPr>
      <w:rFonts w:eastAsia="Times New Roman" w:cs="Times New Roman"/>
      <w:sz w:val="24"/>
      <w:szCs w:val="24"/>
    </w:rPr>
  </w:style>
  <w:style w:type="character" w:customStyle="1" w:styleId="heading41">
    <w:name w:val="heading41"/>
    <w:basedOn w:val="DefaultParagraphFont"/>
    <w:rsid w:val="00DA48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49736">
      <w:bodyDiv w:val="1"/>
      <w:marLeft w:val="0"/>
      <w:marRight w:val="0"/>
      <w:marTop w:val="0"/>
      <w:marBottom w:val="0"/>
      <w:divBdr>
        <w:top w:val="none" w:sz="0" w:space="0" w:color="auto"/>
        <w:left w:val="none" w:sz="0" w:space="0" w:color="auto"/>
        <w:bottom w:val="none" w:sz="0" w:space="0" w:color="auto"/>
        <w:right w:val="none" w:sz="0" w:space="0" w:color="auto"/>
      </w:divBdr>
      <w:divsChild>
        <w:div w:id="1412391494">
          <w:marLeft w:val="0"/>
          <w:marRight w:val="0"/>
          <w:marTop w:val="0"/>
          <w:marBottom w:val="150"/>
          <w:divBdr>
            <w:top w:val="none" w:sz="0" w:space="0" w:color="auto"/>
            <w:left w:val="none" w:sz="0" w:space="0" w:color="auto"/>
            <w:bottom w:val="none" w:sz="0" w:space="0" w:color="auto"/>
            <w:right w:val="none" w:sz="0" w:space="0" w:color="auto"/>
          </w:divBdr>
        </w:div>
        <w:div w:id="1073162762">
          <w:marLeft w:val="0"/>
          <w:marRight w:val="0"/>
          <w:marTop w:val="0"/>
          <w:marBottom w:val="300"/>
          <w:divBdr>
            <w:top w:val="none" w:sz="0" w:space="0" w:color="auto"/>
            <w:left w:val="none" w:sz="0" w:space="0" w:color="auto"/>
            <w:bottom w:val="none" w:sz="0" w:space="0" w:color="auto"/>
            <w:right w:val="none" w:sz="0" w:space="0" w:color="auto"/>
          </w:divBdr>
        </w:div>
      </w:divsChild>
    </w:div>
    <w:div w:id="59449447">
      <w:bodyDiv w:val="1"/>
      <w:marLeft w:val="0"/>
      <w:marRight w:val="0"/>
      <w:marTop w:val="0"/>
      <w:marBottom w:val="0"/>
      <w:divBdr>
        <w:top w:val="none" w:sz="0" w:space="0" w:color="auto"/>
        <w:left w:val="none" w:sz="0" w:space="0" w:color="auto"/>
        <w:bottom w:val="none" w:sz="0" w:space="0" w:color="auto"/>
        <w:right w:val="none" w:sz="0" w:space="0" w:color="auto"/>
      </w:divBdr>
      <w:divsChild>
        <w:div w:id="1505627620">
          <w:marLeft w:val="0"/>
          <w:marRight w:val="0"/>
          <w:marTop w:val="0"/>
          <w:marBottom w:val="150"/>
          <w:divBdr>
            <w:top w:val="none" w:sz="0" w:space="0" w:color="auto"/>
            <w:left w:val="none" w:sz="0" w:space="0" w:color="auto"/>
            <w:bottom w:val="none" w:sz="0" w:space="0" w:color="auto"/>
            <w:right w:val="none" w:sz="0" w:space="0" w:color="auto"/>
          </w:divBdr>
        </w:div>
        <w:div w:id="1952129927">
          <w:marLeft w:val="0"/>
          <w:marRight w:val="0"/>
          <w:marTop w:val="0"/>
          <w:marBottom w:val="300"/>
          <w:divBdr>
            <w:top w:val="none" w:sz="0" w:space="0" w:color="auto"/>
            <w:left w:val="none" w:sz="0" w:space="0" w:color="auto"/>
            <w:bottom w:val="none" w:sz="0" w:space="0" w:color="auto"/>
            <w:right w:val="none" w:sz="0" w:space="0" w:color="auto"/>
          </w:divBdr>
        </w:div>
      </w:divsChild>
    </w:div>
    <w:div w:id="419639841">
      <w:bodyDiv w:val="1"/>
      <w:marLeft w:val="0"/>
      <w:marRight w:val="0"/>
      <w:marTop w:val="0"/>
      <w:marBottom w:val="0"/>
      <w:divBdr>
        <w:top w:val="none" w:sz="0" w:space="0" w:color="auto"/>
        <w:left w:val="none" w:sz="0" w:space="0" w:color="auto"/>
        <w:bottom w:val="none" w:sz="0" w:space="0" w:color="auto"/>
        <w:right w:val="none" w:sz="0" w:space="0" w:color="auto"/>
      </w:divBdr>
      <w:divsChild>
        <w:div w:id="730811248">
          <w:marLeft w:val="0"/>
          <w:marRight w:val="0"/>
          <w:marTop w:val="0"/>
          <w:marBottom w:val="150"/>
          <w:divBdr>
            <w:top w:val="none" w:sz="0" w:space="0" w:color="auto"/>
            <w:left w:val="none" w:sz="0" w:space="0" w:color="auto"/>
            <w:bottom w:val="none" w:sz="0" w:space="0" w:color="auto"/>
            <w:right w:val="none" w:sz="0" w:space="0" w:color="auto"/>
          </w:divBdr>
        </w:div>
        <w:div w:id="1122378034">
          <w:marLeft w:val="0"/>
          <w:marRight w:val="0"/>
          <w:marTop w:val="0"/>
          <w:marBottom w:val="300"/>
          <w:divBdr>
            <w:top w:val="none" w:sz="0" w:space="0" w:color="auto"/>
            <w:left w:val="none" w:sz="0" w:space="0" w:color="auto"/>
            <w:bottom w:val="none" w:sz="0" w:space="0" w:color="auto"/>
            <w:right w:val="none" w:sz="0" w:space="0" w:color="auto"/>
          </w:divBdr>
        </w:div>
      </w:divsChild>
    </w:div>
    <w:div w:id="437869767">
      <w:bodyDiv w:val="1"/>
      <w:marLeft w:val="0"/>
      <w:marRight w:val="0"/>
      <w:marTop w:val="0"/>
      <w:marBottom w:val="0"/>
      <w:divBdr>
        <w:top w:val="none" w:sz="0" w:space="0" w:color="auto"/>
        <w:left w:val="none" w:sz="0" w:space="0" w:color="auto"/>
        <w:bottom w:val="none" w:sz="0" w:space="0" w:color="auto"/>
        <w:right w:val="none" w:sz="0" w:space="0" w:color="auto"/>
      </w:divBdr>
      <w:divsChild>
        <w:div w:id="704216778">
          <w:marLeft w:val="0"/>
          <w:marRight w:val="0"/>
          <w:marTop w:val="0"/>
          <w:marBottom w:val="150"/>
          <w:divBdr>
            <w:top w:val="none" w:sz="0" w:space="0" w:color="auto"/>
            <w:left w:val="none" w:sz="0" w:space="0" w:color="auto"/>
            <w:bottom w:val="none" w:sz="0" w:space="0" w:color="auto"/>
            <w:right w:val="none" w:sz="0" w:space="0" w:color="auto"/>
          </w:divBdr>
        </w:div>
        <w:div w:id="819077463">
          <w:marLeft w:val="0"/>
          <w:marRight w:val="0"/>
          <w:marTop w:val="0"/>
          <w:marBottom w:val="300"/>
          <w:divBdr>
            <w:top w:val="none" w:sz="0" w:space="0" w:color="auto"/>
            <w:left w:val="none" w:sz="0" w:space="0" w:color="auto"/>
            <w:bottom w:val="none" w:sz="0" w:space="0" w:color="auto"/>
            <w:right w:val="none" w:sz="0" w:space="0" w:color="auto"/>
          </w:divBdr>
        </w:div>
      </w:divsChild>
    </w:div>
    <w:div w:id="467011066">
      <w:bodyDiv w:val="1"/>
      <w:marLeft w:val="0"/>
      <w:marRight w:val="0"/>
      <w:marTop w:val="0"/>
      <w:marBottom w:val="0"/>
      <w:divBdr>
        <w:top w:val="none" w:sz="0" w:space="0" w:color="auto"/>
        <w:left w:val="none" w:sz="0" w:space="0" w:color="auto"/>
        <w:bottom w:val="none" w:sz="0" w:space="0" w:color="auto"/>
        <w:right w:val="none" w:sz="0" w:space="0" w:color="auto"/>
      </w:divBdr>
      <w:divsChild>
        <w:div w:id="971518248">
          <w:marLeft w:val="0"/>
          <w:marRight w:val="0"/>
          <w:marTop w:val="0"/>
          <w:marBottom w:val="150"/>
          <w:divBdr>
            <w:top w:val="none" w:sz="0" w:space="0" w:color="auto"/>
            <w:left w:val="none" w:sz="0" w:space="0" w:color="auto"/>
            <w:bottom w:val="none" w:sz="0" w:space="0" w:color="auto"/>
            <w:right w:val="none" w:sz="0" w:space="0" w:color="auto"/>
          </w:divBdr>
        </w:div>
        <w:div w:id="1346245194">
          <w:marLeft w:val="0"/>
          <w:marRight w:val="0"/>
          <w:marTop w:val="0"/>
          <w:marBottom w:val="300"/>
          <w:divBdr>
            <w:top w:val="none" w:sz="0" w:space="0" w:color="auto"/>
            <w:left w:val="none" w:sz="0" w:space="0" w:color="auto"/>
            <w:bottom w:val="none" w:sz="0" w:space="0" w:color="auto"/>
            <w:right w:val="none" w:sz="0" w:space="0" w:color="auto"/>
          </w:divBdr>
        </w:div>
      </w:divsChild>
    </w:div>
    <w:div w:id="527990128">
      <w:bodyDiv w:val="1"/>
      <w:marLeft w:val="0"/>
      <w:marRight w:val="0"/>
      <w:marTop w:val="0"/>
      <w:marBottom w:val="0"/>
      <w:divBdr>
        <w:top w:val="none" w:sz="0" w:space="0" w:color="auto"/>
        <w:left w:val="none" w:sz="0" w:space="0" w:color="auto"/>
        <w:bottom w:val="none" w:sz="0" w:space="0" w:color="auto"/>
        <w:right w:val="none" w:sz="0" w:space="0" w:color="auto"/>
      </w:divBdr>
      <w:divsChild>
        <w:div w:id="130098717">
          <w:marLeft w:val="0"/>
          <w:marRight w:val="0"/>
          <w:marTop w:val="0"/>
          <w:marBottom w:val="150"/>
          <w:divBdr>
            <w:top w:val="none" w:sz="0" w:space="0" w:color="auto"/>
            <w:left w:val="none" w:sz="0" w:space="0" w:color="auto"/>
            <w:bottom w:val="none" w:sz="0" w:space="0" w:color="auto"/>
            <w:right w:val="none" w:sz="0" w:space="0" w:color="auto"/>
          </w:divBdr>
        </w:div>
        <w:div w:id="1086463276">
          <w:marLeft w:val="0"/>
          <w:marRight w:val="0"/>
          <w:marTop w:val="0"/>
          <w:marBottom w:val="300"/>
          <w:divBdr>
            <w:top w:val="none" w:sz="0" w:space="0" w:color="auto"/>
            <w:left w:val="none" w:sz="0" w:space="0" w:color="auto"/>
            <w:bottom w:val="none" w:sz="0" w:space="0" w:color="auto"/>
            <w:right w:val="none" w:sz="0" w:space="0" w:color="auto"/>
          </w:divBdr>
        </w:div>
      </w:divsChild>
    </w:div>
    <w:div w:id="743989859">
      <w:bodyDiv w:val="1"/>
      <w:marLeft w:val="0"/>
      <w:marRight w:val="0"/>
      <w:marTop w:val="0"/>
      <w:marBottom w:val="0"/>
      <w:divBdr>
        <w:top w:val="none" w:sz="0" w:space="0" w:color="auto"/>
        <w:left w:val="none" w:sz="0" w:space="0" w:color="auto"/>
        <w:bottom w:val="none" w:sz="0" w:space="0" w:color="auto"/>
        <w:right w:val="none" w:sz="0" w:space="0" w:color="auto"/>
      </w:divBdr>
      <w:divsChild>
        <w:div w:id="783503349">
          <w:marLeft w:val="0"/>
          <w:marRight w:val="0"/>
          <w:marTop w:val="0"/>
          <w:marBottom w:val="150"/>
          <w:divBdr>
            <w:top w:val="none" w:sz="0" w:space="0" w:color="auto"/>
            <w:left w:val="none" w:sz="0" w:space="0" w:color="auto"/>
            <w:bottom w:val="none" w:sz="0" w:space="0" w:color="auto"/>
            <w:right w:val="none" w:sz="0" w:space="0" w:color="auto"/>
          </w:divBdr>
        </w:div>
        <w:div w:id="212471582">
          <w:marLeft w:val="0"/>
          <w:marRight w:val="0"/>
          <w:marTop w:val="0"/>
          <w:marBottom w:val="300"/>
          <w:divBdr>
            <w:top w:val="none" w:sz="0" w:space="0" w:color="auto"/>
            <w:left w:val="none" w:sz="0" w:space="0" w:color="auto"/>
            <w:bottom w:val="none" w:sz="0" w:space="0" w:color="auto"/>
            <w:right w:val="none" w:sz="0" w:space="0" w:color="auto"/>
          </w:divBdr>
        </w:div>
      </w:divsChild>
    </w:div>
    <w:div w:id="826744047">
      <w:bodyDiv w:val="1"/>
      <w:marLeft w:val="0"/>
      <w:marRight w:val="0"/>
      <w:marTop w:val="0"/>
      <w:marBottom w:val="0"/>
      <w:divBdr>
        <w:top w:val="none" w:sz="0" w:space="0" w:color="auto"/>
        <w:left w:val="none" w:sz="0" w:space="0" w:color="auto"/>
        <w:bottom w:val="none" w:sz="0" w:space="0" w:color="auto"/>
        <w:right w:val="none" w:sz="0" w:space="0" w:color="auto"/>
      </w:divBdr>
      <w:divsChild>
        <w:div w:id="825972294">
          <w:marLeft w:val="0"/>
          <w:marRight w:val="0"/>
          <w:marTop w:val="0"/>
          <w:marBottom w:val="150"/>
          <w:divBdr>
            <w:top w:val="none" w:sz="0" w:space="0" w:color="auto"/>
            <w:left w:val="none" w:sz="0" w:space="0" w:color="auto"/>
            <w:bottom w:val="none" w:sz="0" w:space="0" w:color="auto"/>
            <w:right w:val="none" w:sz="0" w:space="0" w:color="auto"/>
          </w:divBdr>
        </w:div>
        <w:div w:id="1502088121">
          <w:marLeft w:val="0"/>
          <w:marRight w:val="0"/>
          <w:marTop w:val="0"/>
          <w:marBottom w:val="300"/>
          <w:divBdr>
            <w:top w:val="none" w:sz="0" w:space="0" w:color="auto"/>
            <w:left w:val="none" w:sz="0" w:space="0" w:color="auto"/>
            <w:bottom w:val="none" w:sz="0" w:space="0" w:color="auto"/>
            <w:right w:val="none" w:sz="0" w:space="0" w:color="auto"/>
          </w:divBdr>
        </w:div>
      </w:divsChild>
    </w:div>
    <w:div w:id="988824333">
      <w:bodyDiv w:val="1"/>
      <w:marLeft w:val="0"/>
      <w:marRight w:val="0"/>
      <w:marTop w:val="0"/>
      <w:marBottom w:val="0"/>
      <w:divBdr>
        <w:top w:val="none" w:sz="0" w:space="0" w:color="auto"/>
        <w:left w:val="none" w:sz="0" w:space="0" w:color="auto"/>
        <w:bottom w:val="none" w:sz="0" w:space="0" w:color="auto"/>
        <w:right w:val="none" w:sz="0" w:space="0" w:color="auto"/>
      </w:divBdr>
      <w:divsChild>
        <w:div w:id="157158100">
          <w:marLeft w:val="0"/>
          <w:marRight w:val="0"/>
          <w:marTop w:val="0"/>
          <w:marBottom w:val="150"/>
          <w:divBdr>
            <w:top w:val="none" w:sz="0" w:space="0" w:color="auto"/>
            <w:left w:val="none" w:sz="0" w:space="0" w:color="auto"/>
            <w:bottom w:val="none" w:sz="0" w:space="0" w:color="auto"/>
            <w:right w:val="none" w:sz="0" w:space="0" w:color="auto"/>
          </w:divBdr>
        </w:div>
        <w:div w:id="685793785">
          <w:marLeft w:val="0"/>
          <w:marRight w:val="0"/>
          <w:marTop w:val="0"/>
          <w:marBottom w:val="300"/>
          <w:divBdr>
            <w:top w:val="none" w:sz="0" w:space="0" w:color="auto"/>
            <w:left w:val="none" w:sz="0" w:space="0" w:color="auto"/>
            <w:bottom w:val="none" w:sz="0" w:space="0" w:color="auto"/>
            <w:right w:val="none" w:sz="0" w:space="0" w:color="auto"/>
          </w:divBdr>
          <w:divsChild>
            <w:div w:id="214100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417183">
      <w:bodyDiv w:val="1"/>
      <w:marLeft w:val="0"/>
      <w:marRight w:val="0"/>
      <w:marTop w:val="0"/>
      <w:marBottom w:val="0"/>
      <w:divBdr>
        <w:top w:val="none" w:sz="0" w:space="0" w:color="auto"/>
        <w:left w:val="none" w:sz="0" w:space="0" w:color="auto"/>
        <w:bottom w:val="none" w:sz="0" w:space="0" w:color="auto"/>
        <w:right w:val="none" w:sz="0" w:space="0" w:color="auto"/>
      </w:divBdr>
      <w:divsChild>
        <w:div w:id="1663046509">
          <w:marLeft w:val="0"/>
          <w:marRight w:val="0"/>
          <w:marTop w:val="0"/>
          <w:marBottom w:val="150"/>
          <w:divBdr>
            <w:top w:val="none" w:sz="0" w:space="0" w:color="auto"/>
            <w:left w:val="none" w:sz="0" w:space="0" w:color="auto"/>
            <w:bottom w:val="none" w:sz="0" w:space="0" w:color="auto"/>
            <w:right w:val="none" w:sz="0" w:space="0" w:color="auto"/>
          </w:divBdr>
        </w:div>
        <w:div w:id="1724131332">
          <w:marLeft w:val="0"/>
          <w:marRight w:val="0"/>
          <w:marTop w:val="0"/>
          <w:marBottom w:val="300"/>
          <w:divBdr>
            <w:top w:val="none" w:sz="0" w:space="0" w:color="auto"/>
            <w:left w:val="none" w:sz="0" w:space="0" w:color="auto"/>
            <w:bottom w:val="none" w:sz="0" w:space="0" w:color="auto"/>
            <w:right w:val="none" w:sz="0" w:space="0" w:color="auto"/>
          </w:divBdr>
          <w:divsChild>
            <w:div w:id="96103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260134">
      <w:bodyDiv w:val="1"/>
      <w:marLeft w:val="0"/>
      <w:marRight w:val="0"/>
      <w:marTop w:val="0"/>
      <w:marBottom w:val="0"/>
      <w:divBdr>
        <w:top w:val="none" w:sz="0" w:space="0" w:color="auto"/>
        <w:left w:val="none" w:sz="0" w:space="0" w:color="auto"/>
        <w:bottom w:val="none" w:sz="0" w:space="0" w:color="auto"/>
        <w:right w:val="none" w:sz="0" w:space="0" w:color="auto"/>
      </w:divBdr>
      <w:divsChild>
        <w:div w:id="1452087762">
          <w:marLeft w:val="0"/>
          <w:marRight w:val="0"/>
          <w:marTop w:val="0"/>
          <w:marBottom w:val="150"/>
          <w:divBdr>
            <w:top w:val="none" w:sz="0" w:space="0" w:color="auto"/>
            <w:left w:val="none" w:sz="0" w:space="0" w:color="auto"/>
            <w:bottom w:val="none" w:sz="0" w:space="0" w:color="auto"/>
            <w:right w:val="none" w:sz="0" w:space="0" w:color="auto"/>
          </w:divBdr>
        </w:div>
        <w:div w:id="1042752897">
          <w:marLeft w:val="0"/>
          <w:marRight w:val="0"/>
          <w:marTop w:val="0"/>
          <w:marBottom w:val="300"/>
          <w:divBdr>
            <w:top w:val="none" w:sz="0" w:space="0" w:color="auto"/>
            <w:left w:val="none" w:sz="0" w:space="0" w:color="auto"/>
            <w:bottom w:val="none" w:sz="0" w:space="0" w:color="auto"/>
            <w:right w:val="none" w:sz="0" w:space="0" w:color="auto"/>
          </w:divBdr>
        </w:div>
      </w:divsChild>
    </w:div>
    <w:div w:id="1368992412">
      <w:bodyDiv w:val="1"/>
      <w:marLeft w:val="0"/>
      <w:marRight w:val="0"/>
      <w:marTop w:val="0"/>
      <w:marBottom w:val="0"/>
      <w:divBdr>
        <w:top w:val="none" w:sz="0" w:space="0" w:color="auto"/>
        <w:left w:val="none" w:sz="0" w:space="0" w:color="auto"/>
        <w:bottom w:val="none" w:sz="0" w:space="0" w:color="auto"/>
        <w:right w:val="none" w:sz="0" w:space="0" w:color="auto"/>
      </w:divBdr>
      <w:divsChild>
        <w:div w:id="1726179796">
          <w:marLeft w:val="0"/>
          <w:marRight w:val="0"/>
          <w:marTop w:val="0"/>
          <w:marBottom w:val="150"/>
          <w:divBdr>
            <w:top w:val="none" w:sz="0" w:space="0" w:color="auto"/>
            <w:left w:val="none" w:sz="0" w:space="0" w:color="auto"/>
            <w:bottom w:val="none" w:sz="0" w:space="0" w:color="auto"/>
            <w:right w:val="none" w:sz="0" w:space="0" w:color="auto"/>
          </w:divBdr>
        </w:div>
        <w:div w:id="434832993">
          <w:marLeft w:val="0"/>
          <w:marRight w:val="0"/>
          <w:marTop w:val="0"/>
          <w:marBottom w:val="300"/>
          <w:divBdr>
            <w:top w:val="none" w:sz="0" w:space="0" w:color="auto"/>
            <w:left w:val="none" w:sz="0" w:space="0" w:color="auto"/>
            <w:bottom w:val="none" w:sz="0" w:space="0" w:color="auto"/>
            <w:right w:val="none" w:sz="0" w:space="0" w:color="auto"/>
          </w:divBdr>
        </w:div>
      </w:divsChild>
    </w:div>
    <w:div w:id="1532453248">
      <w:bodyDiv w:val="1"/>
      <w:marLeft w:val="0"/>
      <w:marRight w:val="0"/>
      <w:marTop w:val="0"/>
      <w:marBottom w:val="0"/>
      <w:divBdr>
        <w:top w:val="none" w:sz="0" w:space="0" w:color="auto"/>
        <w:left w:val="none" w:sz="0" w:space="0" w:color="auto"/>
        <w:bottom w:val="none" w:sz="0" w:space="0" w:color="auto"/>
        <w:right w:val="none" w:sz="0" w:space="0" w:color="auto"/>
      </w:divBdr>
      <w:divsChild>
        <w:div w:id="1321083111">
          <w:marLeft w:val="0"/>
          <w:marRight w:val="0"/>
          <w:marTop w:val="0"/>
          <w:marBottom w:val="150"/>
          <w:divBdr>
            <w:top w:val="none" w:sz="0" w:space="0" w:color="auto"/>
            <w:left w:val="none" w:sz="0" w:space="0" w:color="auto"/>
            <w:bottom w:val="none" w:sz="0" w:space="0" w:color="auto"/>
            <w:right w:val="none" w:sz="0" w:space="0" w:color="auto"/>
          </w:divBdr>
        </w:div>
        <w:div w:id="1066538401">
          <w:marLeft w:val="0"/>
          <w:marRight w:val="0"/>
          <w:marTop w:val="0"/>
          <w:marBottom w:val="300"/>
          <w:divBdr>
            <w:top w:val="none" w:sz="0" w:space="0" w:color="auto"/>
            <w:left w:val="none" w:sz="0" w:space="0" w:color="auto"/>
            <w:bottom w:val="none" w:sz="0" w:space="0" w:color="auto"/>
            <w:right w:val="none" w:sz="0" w:space="0" w:color="auto"/>
          </w:divBdr>
        </w:div>
      </w:divsChild>
    </w:div>
    <w:div w:id="1579973296">
      <w:bodyDiv w:val="1"/>
      <w:marLeft w:val="0"/>
      <w:marRight w:val="0"/>
      <w:marTop w:val="0"/>
      <w:marBottom w:val="0"/>
      <w:divBdr>
        <w:top w:val="none" w:sz="0" w:space="0" w:color="auto"/>
        <w:left w:val="none" w:sz="0" w:space="0" w:color="auto"/>
        <w:bottom w:val="none" w:sz="0" w:space="0" w:color="auto"/>
        <w:right w:val="none" w:sz="0" w:space="0" w:color="auto"/>
      </w:divBdr>
      <w:divsChild>
        <w:div w:id="1435322088">
          <w:marLeft w:val="0"/>
          <w:marRight w:val="0"/>
          <w:marTop w:val="0"/>
          <w:marBottom w:val="150"/>
          <w:divBdr>
            <w:top w:val="none" w:sz="0" w:space="0" w:color="auto"/>
            <w:left w:val="none" w:sz="0" w:space="0" w:color="auto"/>
            <w:bottom w:val="none" w:sz="0" w:space="0" w:color="auto"/>
            <w:right w:val="none" w:sz="0" w:space="0" w:color="auto"/>
          </w:divBdr>
        </w:div>
        <w:div w:id="1411125378">
          <w:marLeft w:val="0"/>
          <w:marRight w:val="0"/>
          <w:marTop w:val="0"/>
          <w:marBottom w:val="300"/>
          <w:divBdr>
            <w:top w:val="none" w:sz="0" w:space="0" w:color="auto"/>
            <w:left w:val="none" w:sz="0" w:space="0" w:color="auto"/>
            <w:bottom w:val="none" w:sz="0" w:space="0" w:color="auto"/>
            <w:right w:val="none" w:sz="0" w:space="0" w:color="auto"/>
          </w:divBdr>
        </w:div>
      </w:divsChild>
    </w:div>
    <w:div w:id="1635134141">
      <w:bodyDiv w:val="1"/>
      <w:marLeft w:val="0"/>
      <w:marRight w:val="0"/>
      <w:marTop w:val="0"/>
      <w:marBottom w:val="0"/>
      <w:divBdr>
        <w:top w:val="none" w:sz="0" w:space="0" w:color="auto"/>
        <w:left w:val="none" w:sz="0" w:space="0" w:color="auto"/>
        <w:bottom w:val="none" w:sz="0" w:space="0" w:color="auto"/>
        <w:right w:val="none" w:sz="0" w:space="0" w:color="auto"/>
      </w:divBdr>
      <w:divsChild>
        <w:div w:id="974532775">
          <w:marLeft w:val="0"/>
          <w:marRight w:val="0"/>
          <w:marTop w:val="0"/>
          <w:marBottom w:val="150"/>
          <w:divBdr>
            <w:top w:val="none" w:sz="0" w:space="0" w:color="auto"/>
            <w:left w:val="none" w:sz="0" w:space="0" w:color="auto"/>
            <w:bottom w:val="none" w:sz="0" w:space="0" w:color="auto"/>
            <w:right w:val="none" w:sz="0" w:space="0" w:color="auto"/>
          </w:divBdr>
        </w:div>
        <w:div w:id="512190440">
          <w:marLeft w:val="0"/>
          <w:marRight w:val="0"/>
          <w:marTop w:val="0"/>
          <w:marBottom w:val="300"/>
          <w:divBdr>
            <w:top w:val="none" w:sz="0" w:space="0" w:color="auto"/>
            <w:left w:val="none" w:sz="0" w:space="0" w:color="auto"/>
            <w:bottom w:val="none" w:sz="0" w:space="0" w:color="auto"/>
            <w:right w:val="none" w:sz="0" w:space="0" w:color="auto"/>
          </w:divBdr>
        </w:div>
      </w:divsChild>
    </w:div>
    <w:div w:id="1694381174">
      <w:bodyDiv w:val="1"/>
      <w:marLeft w:val="0"/>
      <w:marRight w:val="0"/>
      <w:marTop w:val="0"/>
      <w:marBottom w:val="0"/>
      <w:divBdr>
        <w:top w:val="none" w:sz="0" w:space="0" w:color="auto"/>
        <w:left w:val="none" w:sz="0" w:space="0" w:color="auto"/>
        <w:bottom w:val="none" w:sz="0" w:space="0" w:color="auto"/>
        <w:right w:val="none" w:sz="0" w:space="0" w:color="auto"/>
      </w:divBdr>
      <w:divsChild>
        <w:div w:id="22479905">
          <w:marLeft w:val="0"/>
          <w:marRight w:val="0"/>
          <w:marTop w:val="0"/>
          <w:marBottom w:val="150"/>
          <w:divBdr>
            <w:top w:val="none" w:sz="0" w:space="0" w:color="auto"/>
            <w:left w:val="none" w:sz="0" w:space="0" w:color="auto"/>
            <w:bottom w:val="none" w:sz="0" w:space="0" w:color="auto"/>
            <w:right w:val="none" w:sz="0" w:space="0" w:color="auto"/>
          </w:divBdr>
        </w:div>
        <w:div w:id="1596085854">
          <w:marLeft w:val="0"/>
          <w:marRight w:val="0"/>
          <w:marTop w:val="0"/>
          <w:marBottom w:val="300"/>
          <w:divBdr>
            <w:top w:val="none" w:sz="0" w:space="0" w:color="auto"/>
            <w:left w:val="none" w:sz="0" w:space="0" w:color="auto"/>
            <w:bottom w:val="none" w:sz="0" w:space="0" w:color="auto"/>
            <w:right w:val="none" w:sz="0" w:space="0" w:color="auto"/>
          </w:divBdr>
        </w:div>
      </w:divsChild>
    </w:div>
    <w:div w:id="1711568625">
      <w:bodyDiv w:val="1"/>
      <w:marLeft w:val="0"/>
      <w:marRight w:val="0"/>
      <w:marTop w:val="0"/>
      <w:marBottom w:val="0"/>
      <w:divBdr>
        <w:top w:val="none" w:sz="0" w:space="0" w:color="auto"/>
        <w:left w:val="none" w:sz="0" w:space="0" w:color="auto"/>
        <w:bottom w:val="none" w:sz="0" w:space="0" w:color="auto"/>
        <w:right w:val="none" w:sz="0" w:space="0" w:color="auto"/>
      </w:divBdr>
      <w:divsChild>
        <w:div w:id="2033602259">
          <w:marLeft w:val="0"/>
          <w:marRight w:val="0"/>
          <w:marTop w:val="0"/>
          <w:marBottom w:val="150"/>
          <w:divBdr>
            <w:top w:val="none" w:sz="0" w:space="0" w:color="auto"/>
            <w:left w:val="none" w:sz="0" w:space="0" w:color="auto"/>
            <w:bottom w:val="none" w:sz="0" w:space="0" w:color="auto"/>
            <w:right w:val="none" w:sz="0" w:space="0" w:color="auto"/>
          </w:divBdr>
        </w:div>
        <w:div w:id="203294002">
          <w:marLeft w:val="0"/>
          <w:marRight w:val="0"/>
          <w:marTop w:val="0"/>
          <w:marBottom w:val="300"/>
          <w:divBdr>
            <w:top w:val="none" w:sz="0" w:space="0" w:color="auto"/>
            <w:left w:val="none" w:sz="0" w:space="0" w:color="auto"/>
            <w:bottom w:val="none" w:sz="0" w:space="0" w:color="auto"/>
            <w:right w:val="none" w:sz="0" w:space="0" w:color="auto"/>
          </w:divBdr>
        </w:div>
      </w:divsChild>
    </w:div>
    <w:div w:id="1888180191">
      <w:bodyDiv w:val="1"/>
      <w:marLeft w:val="0"/>
      <w:marRight w:val="0"/>
      <w:marTop w:val="0"/>
      <w:marBottom w:val="0"/>
      <w:divBdr>
        <w:top w:val="none" w:sz="0" w:space="0" w:color="auto"/>
        <w:left w:val="none" w:sz="0" w:space="0" w:color="auto"/>
        <w:bottom w:val="none" w:sz="0" w:space="0" w:color="auto"/>
        <w:right w:val="none" w:sz="0" w:space="0" w:color="auto"/>
      </w:divBdr>
      <w:divsChild>
        <w:div w:id="406075551">
          <w:marLeft w:val="0"/>
          <w:marRight w:val="0"/>
          <w:marTop w:val="0"/>
          <w:marBottom w:val="150"/>
          <w:divBdr>
            <w:top w:val="none" w:sz="0" w:space="0" w:color="auto"/>
            <w:left w:val="none" w:sz="0" w:space="0" w:color="auto"/>
            <w:bottom w:val="none" w:sz="0" w:space="0" w:color="auto"/>
            <w:right w:val="none" w:sz="0" w:space="0" w:color="auto"/>
          </w:divBdr>
        </w:div>
        <w:div w:id="124395611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dti.gov.za/thedti/organisationerpc.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hedti.gov.za/thedti/organisationerpc.htm" TargetMode="External"/><Relationship Id="rId12" Type="http://schemas.openxmlformats.org/officeDocument/2006/relationships/hyperlink" Target="http://www.thedti.gov.za/thedti/developmentfinance.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hedti.gov.za/thedti/organisationerpc.htm" TargetMode="External"/><Relationship Id="rId11" Type="http://schemas.openxmlformats.org/officeDocument/2006/relationships/hyperlink" Target="http://www.thedti.gov.za/thedti/organisation1f.htm" TargetMode="External"/><Relationship Id="rId5" Type="http://schemas.openxmlformats.org/officeDocument/2006/relationships/hyperlink" Target="http://www.thedti.gov.za/thedti/organisationerpc.htm" TargetMode="External"/><Relationship Id="rId10" Type="http://schemas.openxmlformats.org/officeDocument/2006/relationships/hyperlink" Target="http://www.thedti.gov.za/thedti/organisation1f.htm" TargetMode="External"/><Relationship Id="rId4" Type="http://schemas.openxmlformats.org/officeDocument/2006/relationships/webSettings" Target="webSettings.xml"/><Relationship Id="rId9" Type="http://schemas.openxmlformats.org/officeDocument/2006/relationships/hyperlink" Target="http://www.thedti.gov.za/thedti/organisation1f.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1306</Words>
  <Characters>7446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2022-10-02T15:39:00Z</dcterms:created>
  <dcterms:modified xsi:type="dcterms:W3CDTF">2022-10-02T15:39:00Z</dcterms:modified>
</cp:coreProperties>
</file>