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9CB" w:rsidRPr="005C59CB" w:rsidRDefault="005C59CB" w:rsidP="005C59CB">
      <w:pPr>
        <w:spacing w:after="150" w:line="240" w:lineRule="auto"/>
        <w:rPr>
          <w:rFonts w:ascii="Arial" w:eastAsia="Times New Roman" w:hAnsi="Arial" w:cs="Arial"/>
          <w:b/>
          <w:bCs/>
          <w:color w:val="494949"/>
          <w:sz w:val="18"/>
          <w:szCs w:val="18"/>
        </w:rPr>
      </w:pPr>
      <w:r w:rsidRPr="005C59CB">
        <w:rPr>
          <w:rFonts w:ascii="Arial" w:eastAsia="Times New Roman" w:hAnsi="Arial" w:cs="Arial"/>
          <w:b/>
          <w:bCs/>
          <w:color w:val="494949"/>
          <w:sz w:val="18"/>
          <w:szCs w:val="18"/>
        </w:rPr>
        <w:t>  Theo số liệu thống kê ban đầu của Uỷ ban Kế hoạch Pakistan,  niên vụ 2012-2013, tốc đột tăng trưởng của ngành nông nghiệp Pakistan sẽ không đạt được mục tiêu đề ra do ảnh hưởng của nguồn cung. Các cơn mưa gió mùa và ngập lụt tại các địa phương như tại thượng lưu tỉnh Sindh, hạ lưu Punjab và vùng phía Đông Balochistan đã gây hại đến các vụ mùa bông, gạo; đồng thời thiếu ga cũng làm gián đoạn các hoạt động sản xuất tại nước này.</w:t>
      </w:r>
    </w:p>
    <w:p w:rsidR="005C59CB" w:rsidRPr="005C59CB" w:rsidRDefault="005C59CB" w:rsidP="005C59CB">
      <w:pPr>
        <w:spacing w:after="0" w:line="240" w:lineRule="auto"/>
        <w:jc w:val="both"/>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after="0" w:line="240" w:lineRule="auto"/>
        <w:jc w:val="center"/>
        <w:rPr>
          <w:rFonts w:ascii="Arial" w:eastAsia="Times New Roman" w:hAnsi="Arial" w:cs="Arial"/>
          <w:color w:val="494949"/>
          <w:sz w:val="18"/>
          <w:szCs w:val="18"/>
        </w:rPr>
      </w:pPr>
      <w:r w:rsidRPr="005C59CB">
        <w:rPr>
          <w:rFonts w:ascii="Arial" w:eastAsia="Times New Roman" w:hAnsi="Arial" w:cs="Arial"/>
          <w:color w:val="494949"/>
          <w:sz w:val="18"/>
          <w:szCs w:val="18"/>
        </w:rPr>
        <w:t>Bảng 1: Mức tăng trưởng của ngành nông nghiệp Pakistan</w:t>
      </w:r>
    </w:p>
    <w:p w:rsidR="005C59CB" w:rsidRPr="005C59CB" w:rsidRDefault="005C59CB" w:rsidP="005C59CB">
      <w:pPr>
        <w:spacing w:after="0" w:line="240" w:lineRule="auto"/>
        <w:jc w:val="center"/>
        <w:rPr>
          <w:rFonts w:ascii="Arial" w:eastAsia="Times New Roman" w:hAnsi="Arial" w:cs="Arial"/>
          <w:color w:val="494949"/>
          <w:sz w:val="18"/>
          <w:szCs w:val="18"/>
        </w:rPr>
      </w:pPr>
      <w:r w:rsidRPr="005C59CB">
        <w:rPr>
          <w:rFonts w:ascii="Arial" w:eastAsia="Times New Roman" w:hAnsi="Arial" w:cs="Arial"/>
          <w:color w:val="494949"/>
          <w:sz w:val="18"/>
          <w:szCs w:val="18"/>
        </w:rPr>
        <w:t>từ niên vụ 2011-2013</w:t>
      </w:r>
    </w:p>
    <w:p w:rsidR="005C59CB" w:rsidRPr="005C59CB" w:rsidRDefault="005C59CB" w:rsidP="005C59CB">
      <w:pPr>
        <w:spacing w:line="240" w:lineRule="auto"/>
        <w:jc w:val="right"/>
        <w:rPr>
          <w:rFonts w:ascii="Arial" w:eastAsia="Times New Roman" w:hAnsi="Arial" w:cs="Arial"/>
          <w:color w:val="494949"/>
          <w:sz w:val="18"/>
          <w:szCs w:val="18"/>
        </w:rPr>
      </w:pPr>
      <w:r w:rsidRPr="005C59CB">
        <w:rPr>
          <w:rFonts w:ascii="Arial" w:eastAsia="Times New Roman" w:hAnsi="Arial" w:cs="Arial"/>
          <w:i/>
          <w:iCs/>
          <w:color w:val="494949"/>
          <w:sz w:val="18"/>
          <w:szCs w:val="18"/>
        </w:rPr>
        <w:t>Đơn vị: %</w:t>
      </w:r>
    </w:p>
    <w:tbl>
      <w:tblPr>
        <w:tblW w:w="874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9"/>
        <w:gridCol w:w="1983"/>
        <w:gridCol w:w="2194"/>
        <w:gridCol w:w="2299"/>
      </w:tblGrid>
      <w:tr w:rsidR="005C59CB" w:rsidRPr="005C59CB" w:rsidTr="005C59CB">
        <w:trPr>
          <w:tblCellSpacing w:w="0" w:type="dxa"/>
        </w:trPr>
        <w:tc>
          <w:tcPr>
            <w:tcW w:w="226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 </w:t>
            </w:r>
          </w:p>
        </w:tc>
        <w:tc>
          <w:tcPr>
            <w:tcW w:w="198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Năm 2011</w:t>
            </w:r>
          </w:p>
        </w:tc>
        <w:tc>
          <w:tcPr>
            <w:tcW w:w="219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Năm 2012</w:t>
            </w:r>
          </w:p>
        </w:tc>
        <w:tc>
          <w:tcPr>
            <w:tcW w:w="229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Năm 2013</w:t>
            </w:r>
          </w:p>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(mục tiêu)</w:t>
            </w:r>
          </w:p>
        </w:tc>
      </w:tr>
      <w:tr w:rsidR="005C59CB" w:rsidRPr="005C59CB" w:rsidTr="005C59CB">
        <w:trPr>
          <w:tblCellSpacing w:w="0" w:type="dxa"/>
        </w:trPr>
        <w:tc>
          <w:tcPr>
            <w:tcW w:w="226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b/>
                <w:bCs/>
                <w:sz w:val="24"/>
                <w:szCs w:val="24"/>
              </w:rPr>
              <w:t>Nông nghiệp</w:t>
            </w:r>
          </w:p>
        </w:tc>
        <w:tc>
          <w:tcPr>
            <w:tcW w:w="198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2,4</w:t>
            </w:r>
          </w:p>
        </w:tc>
        <w:tc>
          <w:tcPr>
            <w:tcW w:w="219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3,1</w:t>
            </w:r>
          </w:p>
        </w:tc>
        <w:tc>
          <w:tcPr>
            <w:tcW w:w="229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4,0</w:t>
            </w:r>
          </w:p>
        </w:tc>
      </w:tr>
      <w:tr w:rsidR="005C59CB" w:rsidRPr="005C59CB" w:rsidTr="005C59CB">
        <w:trPr>
          <w:tblCellSpacing w:w="0" w:type="dxa"/>
        </w:trPr>
        <w:tc>
          <w:tcPr>
            <w:tcW w:w="226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i/>
                <w:iCs/>
                <w:sz w:val="24"/>
                <w:szCs w:val="24"/>
              </w:rPr>
              <w:t>Các vụ mùa chính</w:t>
            </w:r>
          </w:p>
        </w:tc>
        <w:tc>
          <w:tcPr>
            <w:tcW w:w="198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-0,2</w:t>
            </w:r>
          </w:p>
        </w:tc>
        <w:tc>
          <w:tcPr>
            <w:tcW w:w="219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3,2</w:t>
            </w:r>
          </w:p>
        </w:tc>
        <w:tc>
          <w:tcPr>
            <w:tcW w:w="229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3,8</w:t>
            </w:r>
          </w:p>
        </w:tc>
      </w:tr>
      <w:tr w:rsidR="005C59CB" w:rsidRPr="005C59CB" w:rsidTr="005C59CB">
        <w:trPr>
          <w:tblCellSpacing w:w="0" w:type="dxa"/>
        </w:trPr>
        <w:tc>
          <w:tcPr>
            <w:tcW w:w="226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i/>
                <w:iCs/>
                <w:sz w:val="24"/>
                <w:szCs w:val="24"/>
              </w:rPr>
              <w:t>Các vụ mùa phụ</w:t>
            </w:r>
          </w:p>
        </w:tc>
        <w:tc>
          <w:tcPr>
            <w:tcW w:w="198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2,7</w:t>
            </w:r>
          </w:p>
        </w:tc>
        <w:tc>
          <w:tcPr>
            <w:tcW w:w="219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-1,3</w:t>
            </w:r>
          </w:p>
        </w:tc>
        <w:tc>
          <w:tcPr>
            <w:tcW w:w="229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4,5</w:t>
            </w:r>
          </w:p>
        </w:tc>
      </w:tr>
      <w:tr w:rsidR="005C59CB" w:rsidRPr="005C59CB" w:rsidTr="005C59CB">
        <w:trPr>
          <w:tblCellSpacing w:w="0" w:type="dxa"/>
        </w:trPr>
        <w:tc>
          <w:tcPr>
            <w:tcW w:w="226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i/>
                <w:iCs/>
                <w:sz w:val="24"/>
                <w:szCs w:val="24"/>
              </w:rPr>
              <w:t>Chăn nuôi</w:t>
            </w:r>
          </w:p>
        </w:tc>
        <w:tc>
          <w:tcPr>
            <w:tcW w:w="198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4,0</w:t>
            </w:r>
          </w:p>
        </w:tc>
        <w:tc>
          <w:tcPr>
            <w:tcW w:w="219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4,0</w:t>
            </w:r>
          </w:p>
        </w:tc>
        <w:tc>
          <w:tcPr>
            <w:tcW w:w="229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4,2</w:t>
            </w:r>
          </w:p>
        </w:tc>
      </w:tr>
      <w:tr w:rsidR="005C59CB" w:rsidRPr="005C59CB" w:rsidTr="005C59CB">
        <w:trPr>
          <w:tblCellSpacing w:w="0" w:type="dxa"/>
        </w:trPr>
        <w:tc>
          <w:tcPr>
            <w:tcW w:w="226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i/>
                <w:iCs/>
                <w:sz w:val="24"/>
                <w:szCs w:val="24"/>
              </w:rPr>
              <w:t>Đánh bắt</w:t>
            </w:r>
          </w:p>
        </w:tc>
        <w:tc>
          <w:tcPr>
            <w:tcW w:w="198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1,9</w:t>
            </w:r>
          </w:p>
        </w:tc>
        <w:tc>
          <w:tcPr>
            <w:tcW w:w="219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1,8</w:t>
            </w:r>
          </w:p>
        </w:tc>
        <w:tc>
          <w:tcPr>
            <w:tcW w:w="229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2,0</w:t>
            </w:r>
          </w:p>
        </w:tc>
      </w:tr>
      <w:tr w:rsidR="005C59CB" w:rsidRPr="005C59CB" w:rsidTr="005C59CB">
        <w:trPr>
          <w:tblCellSpacing w:w="0" w:type="dxa"/>
        </w:trPr>
        <w:tc>
          <w:tcPr>
            <w:tcW w:w="226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i/>
                <w:iCs/>
                <w:sz w:val="24"/>
                <w:szCs w:val="24"/>
              </w:rPr>
              <w:t>Lâm nghiệp</w:t>
            </w:r>
          </w:p>
        </w:tc>
        <w:tc>
          <w:tcPr>
            <w:tcW w:w="198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-0,4</w:t>
            </w:r>
          </w:p>
        </w:tc>
        <w:tc>
          <w:tcPr>
            <w:tcW w:w="219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0,9</w:t>
            </w:r>
          </w:p>
        </w:tc>
        <w:tc>
          <w:tcPr>
            <w:tcW w:w="229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2,0</w:t>
            </w:r>
          </w:p>
        </w:tc>
      </w:tr>
    </w:tbl>
    <w:p w:rsidR="005C59CB" w:rsidRPr="005C59CB" w:rsidRDefault="005C59CB" w:rsidP="005C59CB">
      <w:pPr>
        <w:spacing w:after="0" w:line="240" w:lineRule="auto"/>
        <w:jc w:val="right"/>
        <w:rPr>
          <w:rFonts w:ascii="Arial" w:eastAsia="Times New Roman" w:hAnsi="Arial" w:cs="Arial"/>
          <w:color w:val="494949"/>
          <w:sz w:val="18"/>
          <w:szCs w:val="18"/>
        </w:rPr>
      </w:pPr>
      <w:r w:rsidRPr="005C59CB">
        <w:rPr>
          <w:rFonts w:ascii="Arial" w:eastAsia="Times New Roman" w:hAnsi="Arial" w:cs="Arial"/>
          <w:i/>
          <w:iCs/>
          <w:color w:val="494949"/>
          <w:sz w:val="18"/>
          <w:szCs w:val="18"/>
        </w:rPr>
        <w:t>Nguồn: Uỷ ban Kế hoạch Pakistan</w:t>
      </w:r>
    </w:p>
    <w:p w:rsidR="005C59CB" w:rsidRPr="005C59CB" w:rsidRDefault="005C59CB" w:rsidP="005C59CB">
      <w:pPr>
        <w:spacing w:after="0" w:line="240" w:lineRule="auto"/>
        <w:jc w:val="right"/>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Tuy nhiên, một số ngành hỗ trợ sức tăng trưởng cho nông nghiệp như tăng sản lượng thu hoạch của ngành mía đường (do tăng cao hơn so với mục tiêu đề ra); tăng trồng trọt lúa mì nhờ sự trợ giá; và các hoạt động xây dựng khác.</w:t>
      </w:r>
    </w:p>
    <w:p w:rsidR="005C59CB" w:rsidRPr="005C59CB" w:rsidRDefault="005C59CB" w:rsidP="005C59CB">
      <w:pPr>
        <w:spacing w:after="0" w:line="240" w:lineRule="auto"/>
        <w:jc w:val="center"/>
        <w:rPr>
          <w:rFonts w:ascii="Arial" w:eastAsia="Times New Roman" w:hAnsi="Arial" w:cs="Arial"/>
          <w:color w:val="494949"/>
          <w:sz w:val="18"/>
          <w:szCs w:val="18"/>
        </w:rPr>
      </w:pPr>
      <w:r w:rsidRPr="005C59CB">
        <w:rPr>
          <w:rFonts w:ascii="Arial" w:eastAsia="Times New Roman" w:hAnsi="Arial" w:cs="Arial"/>
          <w:b/>
          <w:bCs/>
          <w:color w:val="494949"/>
          <w:sz w:val="18"/>
          <w:szCs w:val="18"/>
        </w:rPr>
        <w:t>Bảng 2: Sản lượng các vụ mùa chính tại Pakistan</w:t>
      </w:r>
    </w:p>
    <w:p w:rsidR="005C59CB" w:rsidRPr="005C59CB" w:rsidRDefault="005C59CB" w:rsidP="005C59CB">
      <w:pPr>
        <w:spacing w:after="0" w:line="240" w:lineRule="auto"/>
        <w:jc w:val="center"/>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line="240" w:lineRule="auto"/>
        <w:jc w:val="right"/>
        <w:rPr>
          <w:rFonts w:ascii="Arial" w:eastAsia="Times New Roman" w:hAnsi="Arial" w:cs="Arial"/>
          <w:color w:val="494949"/>
          <w:sz w:val="18"/>
          <w:szCs w:val="18"/>
        </w:rPr>
      </w:pPr>
      <w:r w:rsidRPr="005C59CB">
        <w:rPr>
          <w:rFonts w:ascii="Arial" w:eastAsia="Times New Roman" w:hAnsi="Arial" w:cs="Arial"/>
          <w:i/>
          <w:iCs/>
          <w:color w:val="494949"/>
          <w:sz w:val="18"/>
          <w:szCs w:val="18"/>
        </w:rPr>
        <w:t>Đơn vị: triệu tấn,( triệu kiện đối với bông)</w:t>
      </w:r>
    </w:p>
    <w:tbl>
      <w:tblPr>
        <w:tblW w:w="888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2115"/>
        <w:gridCol w:w="2340"/>
        <w:gridCol w:w="2340"/>
      </w:tblGrid>
      <w:tr w:rsidR="005C59CB" w:rsidRPr="005C59CB" w:rsidTr="005C59CB">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 </w:t>
            </w:r>
          </w:p>
        </w:tc>
        <w:tc>
          <w:tcPr>
            <w:tcW w:w="211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Năm 2011</w:t>
            </w:r>
          </w:p>
        </w:tc>
        <w:tc>
          <w:tcPr>
            <w:tcW w:w="234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Năm 2012</w:t>
            </w:r>
          </w:p>
        </w:tc>
        <w:tc>
          <w:tcPr>
            <w:tcW w:w="234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Mục tiêu 2013</w:t>
            </w:r>
          </w:p>
        </w:tc>
      </w:tr>
      <w:tr w:rsidR="005C59CB" w:rsidRPr="005C59CB" w:rsidTr="005C59CB">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Bông</w:t>
            </w:r>
          </w:p>
        </w:tc>
        <w:tc>
          <w:tcPr>
            <w:tcW w:w="211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11,5</w:t>
            </w:r>
          </w:p>
        </w:tc>
        <w:tc>
          <w:tcPr>
            <w:tcW w:w="234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13,6</w:t>
            </w:r>
          </w:p>
        </w:tc>
        <w:tc>
          <w:tcPr>
            <w:tcW w:w="234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14,6</w:t>
            </w:r>
          </w:p>
        </w:tc>
      </w:tr>
      <w:tr w:rsidR="005C59CB" w:rsidRPr="005C59CB" w:rsidTr="005C59CB">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Đường</w:t>
            </w:r>
          </w:p>
        </w:tc>
        <w:tc>
          <w:tcPr>
            <w:tcW w:w="211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55,3</w:t>
            </w:r>
          </w:p>
        </w:tc>
        <w:tc>
          <w:tcPr>
            <w:tcW w:w="234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58</w:t>
            </w:r>
          </w:p>
        </w:tc>
        <w:tc>
          <w:tcPr>
            <w:tcW w:w="234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59</w:t>
            </w:r>
          </w:p>
        </w:tc>
      </w:tr>
      <w:tr w:rsidR="005C59CB" w:rsidRPr="005C59CB" w:rsidTr="005C59CB">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Gạo</w:t>
            </w:r>
          </w:p>
        </w:tc>
        <w:tc>
          <w:tcPr>
            <w:tcW w:w="211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4,8</w:t>
            </w:r>
          </w:p>
        </w:tc>
        <w:tc>
          <w:tcPr>
            <w:tcW w:w="234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6,2</w:t>
            </w:r>
          </w:p>
        </w:tc>
        <w:tc>
          <w:tcPr>
            <w:tcW w:w="234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6,9</w:t>
            </w:r>
          </w:p>
        </w:tc>
      </w:tr>
      <w:tr w:rsidR="005C59CB" w:rsidRPr="005C59CB" w:rsidTr="005C59CB">
        <w:trPr>
          <w:tblCellSpacing w:w="0" w:type="dxa"/>
        </w:trPr>
        <w:tc>
          <w:tcPr>
            <w:tcW w:w="208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Lúa mì</w:t>
            </w:r>
          </w:p>
        </w:tc>
        <w:tc>
          <w:tcPr>
            <w:tcW w:w="211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25,2</w:t>
            </w:r>
          </w:p>
        </w:tc>
        <w:tc>
          <w:tcPr>
            <w:tcW w:w="234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23,5</w:t>
            </w:r>
          </w:p>
        </w:tc>
        <w:tc>
          <w:tcPr>
            <w:tcW w:w="234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25,5</w:t>
            </w:r>
          </w:p>
        </w:tc>
      </w:tr>
    </w:tbl>
    <w:p w:rsidR="005C59CB" w:rsidRPr="005C59CB" w:rsidRDefault="005C59CB" w:rsidP="005C59CB">
      <w:pPr>
        <w:spacing w:after="0" w:line="240" w:lineRule="auto"/>
        <w:jc w:val="right"/>
        <w:rPr>
          <w:rFonts w:ascii="Arial" w:eastAsia="Times New Roman" w:hAnsi="Arial" w:cs="Arial"/>
          <w:color w:val="494949"/>
          <w:sz w:val="18"/>
          <w:szCs w:val="18"/>
        </w:rPr>
      </w:pPr>
      <w:r w:rsidRPr="005C59CB">
        <w:rPr>
          <w:rFonts w:ascii="Arial" w:eastAsia="Times New Roman" w:hAnsi="Arial" w:cs="Arial"/>
          <w:i/>
          <w:iCs/>
          <w:color w:val="494949"/>
          <w:sz w:val="18"/>
          <w:szCs w:val="18"/>
        </w:rPr>
        <w:t>Nguồn: Uỷ ban Kế hoạch Pakistan</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Niên vụ 2012-13, Chính phủ Pakistan đã đặt mục tiêu tăng trưởng trong ngành nông nghiệp là 4%, cao hơn so với mức 3,1% của năm 2012. Tuy nhiên, mục tiêu tăng trưởng của ngành này khó có thể đạt được do tác hại từ các cơn mưa gió mùa và lụt lội gây ra đối với vụ mùa bông và gạo vào tháng 9/2012.</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Tuy nhiên, ngành mía đường có xu hướng tăng trưởng khả quan hơn.</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b/>
          <w:bCs/>
          <w:color w:val="494949"/>
          <w:sz w:val="18"/>
          <w:szCs w:val="18"/>
        </w:rPr>
        <w:t>1. Bông</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          Theo Uỷ ban đánh giá Mùa bông Pakistan cho biết, sản lượng bông niên vụ 2012-13 ước đạt 13,3 triệu kiện, thấp hơn so với mục tiêu đề ra là 14,6 triệu kiện, đồng thời cũng thấp hơn so với sản lượng niên vụ năm 2012 là 13,6 triệu kiện.</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after="0" w:line="240" w:lineRule="auto"/>
        <w:jc w:val="center"/>
        <w:rPr>
          <w:rFonts w:ascii="Arial" w:eastAsia="Times New Roman" w:hAnsi="Arial" w:cs="Arial"/>
          <w:color w:val="494949"/>
          <w:sz w:val="18"/>
          <w:szCs w:val="18"/>
        </w:rPr>
      </w:pPr>
      <w:r w:rsidRPr="005C59CB">
        <w:rPr>
          <w:rFonts w:ascii="Arial" w:eastAsia="Times New Roman" w:hAnsi="Arial" w:cs="Arial"/>
          <w:b/>
          <w:bCs/>
          <w:color w:val="494949"/>
          <w:sz w:val="18"/>
          <w:szCs w:val="18"/>
        </w:rPr>
        <w:t>Bảng 3: Sản lượng bông tại các tỉnh Pakistan niên vụ 2012 – 2013</w:t>
      </w:r>
    </w:p>
    <w:p w:rsidR="005C59CB" w:rsidRPr="005C59CB" w:rsidRDefault="005C59CB" w:rsidP="005C59CB">
      <w:pPr>
        <w:spacing w:after="0" w:line="240" w:lineRule="auto"/>
        <w:jc w:val="center"/>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line="240" w:lineRule="auto"/>
        <w:jc w:val="right"/>
        <w:rPr>
          <w:rFonts w:ascii="Arial" w:eastAsia="Times New Roman" w:hAnsi="Arial" w:cs="Arial"/>
          <w:color w:val="494949"/>
          <w:sz w:val="18"/>
          <w:szCs w:val="18"/>
        </w:rPr>
      </w:pPr>
      <w:r w:rsidRPr="005C59CB">
        <w:rPr>
          <w:rFonts w:ascii="Arial" w:eastAsia="Times New Roman" w:hAnsi="Arial" w:cs="Arial"/>
          <w:i/>
          <w:iCs/>
          <w:color w:val="494949"/>
          <w:sz w:val="18"/>
          <w:szCs w:val="18"/>
        </w:rPr>
        <w:t>Đơn vị: triệu kiện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2205"/>
        <w:gridCol w:w="2205"/>
        <w:gridCol w:w="2205"/>
      </w:tblGrid>
      <w:tr w:rsidR="005C59CB" w:rsidRPr="005C59CB" w:rsidTr="005C59CB">
        <w:trPr>
          <w:tblCellSpacing w:w="0" w:type="dxa"/>
        </w:trPr>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Tỉnh</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Mục tiêu</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Thực hiện</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Sự chênh lệnh giữa TH/MT</w:t>
            </w:r>
          </w:p>
        </w:tc>
      </w:tr>
      <w:tr w:rsidR="005C59CB" w:rsidRPr="005C59CB" w:rsidTr="005C59CB">
        <w:trPr>
          <w:tblCellSpacing w:w="0" w:type="dxa"/>
        </w:trPr>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Pakistan</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14,6</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13,3</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-1,3</w:t>
            </w:r>
          </w:p>
        </w:tc>
      </w:tr>
      <w:tr w:rsidR="005C59CB" w:rsidRPr="005C59CB" w:rsidTr="005C59CB">
        <w:trPr>
          <w:tblCellSpacing w:w="0" w:type="dxa"/>
        </w:trPr>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Punjab</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10,5</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9,6</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-0,9</w:t>
            </w:r>
          </w:p>
        </w:tc>
      </w:tr>
      <w:tr w:rsidR="005C59CB" w:rsidRPr="005C59CB" w:rsidTr="005C59CB">
        <w:trPr>
          <w:tblCellSpacing w:w="0" w:type="dxa"/>
        </w:trPr>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Sindh</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4</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3,6</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-0,4</w:t>
            </w:r>
          </w:p>
        </w:tc>
      </w:tr>
      <w:tr w:rsidR="005C59CB" w:rsidRPr="005C59CB" w:rsidTr="005C59CB">
        <w:trPr>
          <w:tblCellSpacing w:w="0" w:type="dxa"/>
        </w:trPr>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Balochistan</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0,1</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0,1</w:t>
            </w:r>
          </w:p>
        </w:tc>
        <w:tc>
          <w:tcPr>
            <w:tcW w:w="2205"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0,0</w:t>
            </w:r>
          </w:p>
        </w:tc>
      </w:tr>
    </w:tbl>
    <w:p w:rsidR="005C59CB" w:rsidRPr="005C59CB" w:rsidRDefault="005C59CB" w:rsidP="005C59CB">
      <w:pPr>
        <w:spacing w:after="0" w:line="240" w:lineRule="auto"/>
        <w:jc w:val="right"/>
        <w:rPr>
          <w:rFonts w:ascii="Arial" w:eastAsia="Times New Roman" w:hAnsi="Arial" w:cs="Arial"/>
          <w:color w:val="494949"/>
          <w:sz w:val="18"/>
          <w:szCs w:val="18"/>
        </w:rPr>
      </w:pPr>
      <w:r w:rsidRPr="005C59CB">
        <w:rPr>
          <w:rFonts w:ascii="Arial" w:eastAsia="Times New Roman" w:hAnsi="Arial" w:cs="Arial"/>
          <w:i/>
          <w:iCs/>
          <w:color w:val="494949"/>
          <w:sz w:val="18"/>
          <w:szCs w:val="18"/>
        </w:rPr>
        <w:t>Nguồn: Uỷ ban Đánh giá vụ mùa Bông, Pakistan</w:t>
      </w:r>
    </w:p>
    <w:p w:rsidR="005C59CB" w:rsidRPr="005C59CB" w:rsidRDefault="005C59CB" w:rsidP="005C59CB">
      <w:pPr>
        <w:spacing w:after="0" w:line="240" w:lineRule="auto"/>
        <w:jc w:val="right"/>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Diện tích gieo trồng bông tại các tỉnh niên vụ 2012-13 giảm so với năm trước là do: (1) thiếu nước vào thời điểm gieo hạt, (2) thu hoạch lúa mì của vụ mùa trước chậm (3) giá bông thấp hơn so với vụ mùa trước (4) xu hướng chuyển đổi cây trồng sang trồng mía của người nông dân.</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          Ngoài ra, vụ mùa bông còn bị ảnh hưởng bởi các cơn mưa gió mùa đến muộn và các trận lụt, mưa lớn tại Phía Nam tỉnh Punjab.</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b/>
          <w:bCs/>
          <w:color w:val="494949"/>
          <w:sz w:val="18"/>
          <w:szCs w:val="18"/>
        </w:rPr>
        <w:t>2. Gạo</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lastRenderedPageBreak/>
        <w:t>Thời gian gieo trồng các loại lúa gạo thường kết thúc vào tháng 7 hàng năm, riêng gạo basmati thường kéo dài đến tháng 8. Tuy nhiên, năm nay, do thiếu  nước tưới tiêu nên đã phải lùi thời gian gieo hạt lại.</w:t>
      </w:r>
    </w:p>
    <w:p w:rsidR="005C59CB" w:rsidRPr="005C59CB" w:rsidRDefault="005C59CB" w:rsidP="005C59CB">
      <w:pPr>
        <w:spacing w:after="0" w:line="240" w:lineRule="auto"/>
        <w:jc w:val="center"/>
        <w:rPr>
          <w:rFonts w:ascii="Arial" w:eastAsia="Times New Roman" w:hAnsi="Arial" w:cs="Arial"/>
          <w:color w:val="494949"/>
          <w:sz w:val="18"/>
          <w:szCs w:val="18"/>
        </w:rPr>
      </w:pPr>
      <w:r w:rsidRPr="005C59CB">
        <w:rPr>
          <w:rFonts w:ascii="Arial" w:eastAsia="Times New Roman" w:hAnsi="Arial" w:cs="Arial"/>
          <w:b/>
          <w:bCs/>
          <w:color w:val="494949"/>
          <w:sz w:val="18"/>
          <w:szCs w:val="18"/>
        </w:rPr>
        <w:t>Bảng 4: Sản lượng gạo tại các tỉnh tại Pakistan</w:t>
      </w:r>
    </w:p>
    <w:p w:rsidR="005C59CB" w:rsidRPr="005C59CB" w:rsidRDefault="005C59CB" w:rsidP="005C59CB">
      <w:pPr>
        <w:spacing w:after="0" w:line="240" w:lineRule="auto"/>
        <w:jc w:val="right"/>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line="240" w:lineRule="auto"/>
        <w:jc w:val="right"/>
        <w:rPr>
          <w:rFonts w:ascii="Arial" w:eastAsia="Times New Roman" w:hAnsi="Arial" w:cs="Arial"/>
          <w:color w:val="494949"/>
          <w:sz w:val="18"/>
          <w:szCs w:val="18"/>
        </w:rPr>
      </w:pPr>
      <w:r w:rsidRPr="005C59CB">
        <w:rPr>
          <w:rFonts w:ascii="Arial" w:eastAsia="Times New Roman" w:hAnsi="Arial" w:cs="Arial"/>
          <w:i/>
          <w:iCs/>
          <w:color w:val="494949"/>
          <w:sz w:val="18"/>
          <w:szCs w:val="18"/>
        </w:rPr>
        <w:t>Đơn vị: diện tích (nghìn héc-ta), sản lượng (nghìn tấn)</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0"/>
        <w:gridCol w:w="1770"/>
        <w:gridCol w:w="1770"/>
        <w:gridCol w:w="1770"/>
        <w:gridCol w:w="1770"/>
      </w:tblGrid>
      <w:tr w:rsidR="005C59CB" w:rsidRPr="005C59CB" w:rsidTr="005C59CB">
        <w:trPr>
          <w:tblCellSpacing w:w="0" w:type="dxa"/>
        </w:trPr>
        <w:tc>
          <w:tcPr>
            <w:tcW w:w="1770" w:type="dxa"/>
            <w:vMerge w:val="restart"/>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Tỉnh</w:t>
            </w:r>
          </w:p>
        </w:tc>
        <w:tc>
          <w:tcPr>
            <w:tcW w:w="3540" w:type="dxa"/>
            <w:gridSpan w:val="2"/>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Vụ mùa 2011-12</w:t>
            </w:r>
          </w:p>
        </w:tc>
        <w:tc>
          <w:tcPr>
            <w:tcW w:w="3540" w:type="dxa"/>
            <w:gridSpan w:val="2"/>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Vụ mùa 2012-13</w:t>
            </w:r>
          </w:p>
        </w:tc>
      </w:tr>
      <w:tr w:rsidR="005C59CB" w:rsidRPr="005C59CB" w:rsidTr="005C59CB">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Diện tích</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Sản lượng</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Diện tích</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Sản lượng</w:t>
            </w:r>
          </w:p>
        </w:tc>
      </w:tr>
      <w:tr w:rsidR="005C59CB" w:rsidRPr="005C59CB" w:rsidTr="005C59CB">
        <w:trPr>
          <w:tblCellSpacing w:w="0" w:type="dxa"/>
        </w:trPr>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Sindh</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636</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2260</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511</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1.689</w:t>
            </w:r>
          </w:p>
        </w:tc>
      </w:tr>
      <w:tr w:rsidR="005C59CB" w:rsidRPr="005C59CB" w:rsidTr="005C59CB">
        <w:trPr>
          <w:tblCellSpacing w:w="0" w:type="dxa"/>
        </w:trPr>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Punjab</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1.714</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3.227</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1.700</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3.461</w:t>
            </w:r>
          </w:p>
        </w:tc>
      </w:tr>
      <w:tr w:rsidR="005C59CB" w:rsidRPr="005C59CB" w:rsidTr="005C59CB">
        <w:trPr>
          <w:tblCellSpacing w:w="0" w:type="dxa"/>
        </w:trPr>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Balochistan</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171</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529</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37</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120</w:t>
            </w:r>
          </w:p>
        </w:tc>
      </w:tr>
      <w:tr w:rsidR="005C59CB" w:rsidRPr="005C59CB" w:rsidTr="005C59CB">
        <w:trPr>
          <w:tblCellSpacing w:w="0" w:type="dxa"/>
        </w:trPr>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KP</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50</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95</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52</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99</w:t>
            </w:r>
          </w:p>
        </w:tc>
      </w:tr>
      <w:tr w:rsidR="005C59CB" w:rsidRPr="005C59CB" w:rsidTr="005C59CB">
        <w:trPr>
          <w:tblCellSpacing w:w="0" w:type="dxa"/>
        </w:trPr>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b/>
                <w:bCs/>
                <w:sz w:val="24"/>
                <w:szCs w:val="24"/>
              </w:rPr>
              <w:t>Tổng</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2.521</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6.066</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2.300</w:t>
            </w:r>
          </w:p>
        </w:tc>
        <w:tc>
          <w:tcPr>
            <w:tcW w:w="177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5.369</w:t>
            </w:r>
          </w:p>
        </w:tc>
      </w:tr>
    </w:tbl>
    <w:p w:rsidR="005C59CB" w:rsidRPr="005C59CB" w:rsidRDefault="005C59CB" w:rsidP="005C59CB">
      <w:pPr>
        <w:spacing w:after="0" w:line="240" w:lineRule="auto"/>
        <w:jc w:val="right"/>
        <w:rPr>
          <w:rFonts w:ascii="Arial" w:eastAsia="Times New Roman" w:hAnsi="Arial" w:cs="Arial"/>
          <w:color w:val="494949"/>
          <w:sz w:val="18"/>
          <w:szCs w:val="18"/>
        </w:rPr>
      </w:pPr>
      <w:r w:rsidRPr="005C59CB">
        <w:rPr>
          <w:rFonts w:ascii="Arial" w:eastAsia="Times New Roman" w:hAnsi="Arial" w:cs="Arial"/>
          <w:b/>
          <w:bCs/>
          <w:color w:val="494949"/>
          <w:sz w:val="18"/>
          <w:szCs w:val="18"/>
        </w:rPr>
        <w:t>Nguồn: Trung tâm thông báo vụ mùa các tỉnh</w:t>
      </w:r>
    </w:p>
    <w:p w:rsidR="005C59CB" w:rsidRPr="005C59CB" w:rsidRDefault="005C59CB" w:rsidP="005C59CB">
      <w:pPr>
        <w:spacing w:after="0" w:line="240" w:lineRule="auto"/>
        <w:jc w:val="right"/>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Pakistanđã đề ra mục tiêu đối với sản lượng gạo niên vụ 2012- 2013 là 6,9 triệu tấn, tăng 12% so với năm trước. Tuy nhiên, theo ước tính, sản lượng gạo năm nay chỉ có thể đạt 5,4 triệu tấn do mưa nhiều vào tháng 9/2012 đã ảnh hưởng đến vụ mùa gạo tại các vùng Jafferrabad và Naseerabad thuộc tỉnh Balochistan; các vùng Jacobadad, Shikarpur, Kashmore và Qambar thuộc thượng lưu tỉnh Sindh. Nhiều thiệt hại nặng nề tại các khu vực có lúa gạo đang trong giai đoạn trưởng thành, lí do chủ yếu là thiếu nước dẫn thời gian gieo trồng muộn.</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Nỗi lo lớn đối với Pakistan chính là sự giảm dần về sản lượng gạo Basmati. Trong khi đó, một phần giảm này đã được thay thế bằng giống lúa khác (chủ yếu là giống lúa lai), tuy nhiên, tổng sản lượng gạo vẫn tiếp tục giảm.</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Theo như bảng 5, diện tích trồng gạo basmati tại Punjab đã giảm hơn so với năm trước. Đối với giống lúa basmati chất lượng cao, xu hướng giảm này đang là lo ngại lớn của Chính phủ Pakistan.</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after="0" w:line="240" w:lineRule="auto"/>
        <w:jc w:val="center"/>
        <w:rPr>
          <w:rFonts w:ascii="Arial" w:eastAsia="Times New Roman" w:hAnsi="Arial" w:cs="Arial"/>
          <w:color w:val="494949"/>
          <w:sz w:val="18"/>
          <w:szCs w:val="18"/>
        </w:rPr>
      </w:pPr>
      <w:r w:rsidRPr="005C59CB">
        <w:rPr>
          <w:rFonts w:ascii="Arial" w:eastAsia="Times New Roman" w:hAnsi="Arial" w:cs="Arial"/>
          <w:b/>
          <w:bCs/>
          <w:color w:val="494949"/>
          <w:sz w:val="18"/>
          <w:szCs w:val="18"/>
        </w:rPr>
        <w:t>Bảng 5: Diện tích và sản lượng gạo tại tỉnh Punjab, Pakistan qua các năm</w:t>
      </w:r>
    </w:p>
    <w:p w:rsidR="005C59CB" w:rsidRPr="005C59CB" w:rsidRDefault="005C59CB" w:rsidP="005C59CB">
      <w:pPr>
        <w:spacing w:after="0" w:line="240" w:lineRule="auto"/>
        <w:jc w:val="right"/>
        <w:rPr>
          <w:rFonts w:ascii="Arial" w:eastAsia="Times New Roman" w:hAnsi="Arial" w:cs="Arial"/>
          <w:color w:val="494949"/>
          <w:sz w:val="18"/>
          <w:szCs w:val="18"/>
        </w:rPr>
      </w:pPr>
      <w:r w:rsidRPr="005C59CB">
        <w:rPr>
          <w:rFonts w:ascii="Arial" w:eastAsia="Times New Roman" w:hAnsi="Arial" w:cs="Arial"/>
          <w:i/>
          <w:iCs/>
          <w:color w:val="494949"/>
          <w:sz w:val="18"/>
          <w:szCs w:val="18"/>
        </w:rPr>
        <w:t>Đơn vị: diện tích (nghìn héc-ta), sản lượng (nghìn tấn)</w:t>
      </w:r>
    </w:p>
    <w:p w:rsidR="005C59CB" w:rsidRPr="005C59CB" w:rsidRDefault="005C59CB" w:rsidP="005C59CB">
      <w:pPr>
        <w:spacing w:line="240" w:lineRule="auto"/>
        <w:jc w:val="right"/>
        <w:rPr>
          <w:rFonts w:ascii="Arial" w:eastAsia="Times New Roman" w:hAnsi="Arial" w:cs="Arial"/>
          <w:color w:val="494949"/>
          <w:sz w:val="18"/>
          <w:szCs w:val="18"/>
        </w:rPr>
      </w:pPr>
      <w:r w:rsidRPr="005C59CB">
        <w:rPr>
          <w:rFonts w:ascii="Arial" w:eastAsia="Times New Roman" w:hAnsi="Arial" w:cs="Arial"/>
          <w:color w:val="494949"/>
          <w:sz w:val="18"/>
          <w:szCs w:val="18"/>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1260"/>
        <w:gridCol w:w="1260"/>
        <w:gridCol w:w="1260"/>
        <w:gridCol w:w="1260"/>
        <w:gridCol w:w="1260"/>
        <w:gridCol w:w="1260"/>
      </w:tblGrid>
      <w:tr w:rsidR="005C59CB" w:rsidRPr="005C59CB" w:rsidTr="005C59CB">
        <w:trPr>
          <w:tblCellSpacing w:w="0" w:type="dxa"/>
        </w:trPr>
        <w:tc>
          <w:tcPr>
            <w:tcW w:w="1260" w:type="dxa"/>
            <w:vMerge w:val="restart"/>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Năm</w:t>
            </w:r>
          </w:p>
        </w:tc>
        <w:tc>
          <w:tcPr>
            <w:tcW w:w="2520" w:type="dxa"/>
            <w:gridSpan w:val="2"/>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Gạo Basmati</w:t>
            </w:r>
          </w:p>
        </w:tc>
        <w:tc>
          <w:tcPr>
            <w:tcW w:w="2520" w:type="dxa"/>
            <w:gridSpan w:val="2"/>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Giống gạo khác</w:t>
            </w:r>
          </w:p>
        </w:tc>
        <w:tc>
          <w:tcPr>
            <w:tcW w:w="2520" w:type="dxa"/>
            <w:gridSpan w:val="2"/>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Tổng</w:t>
            </w:r>
          </w:p>
        </w:tc>
      </w:tr>
      <w:tr w:rsidR="005C59CB" w:rsidRPr="005C59CB" w:rsidTr="005C59CB">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Diện tích</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Sản lượng</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Diện tích</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Sản lượng</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Diện tích</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b/>
                <w:bCs/>
                <w:sz w:val="24"/>
                <w:szCs w:val="24"/>
              </w:rPr>
              <w:t>Sản lượng</w:t>
            </w:r>
          </w:p>
        </w:tc>
      </w:tr>
      <w:tr w:rsidR="005C59CB" w:rsidRPr="005C59CB" w:rsidTr="005C59CB">
        <w:trPr>
          <w:tblCellSpacing w:w="0"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2008-09</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1.548</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2.602</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430</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1.041</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1.978</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3.643</w:t>
            </w:r>
          </w:p>
        </w:tc>
      </w:tr>
      <w:tr w:rsidR="005C59CB" w:rsidRPr="005C59CB" w:rsidTr="005C59CB">
        <w:trPr>
          <w:tblCellSpacing w:w="0"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2009-10</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1.414</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2.475</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518</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1.238</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1.932</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3.713</w:t>
            </w:r>
          </w:p>
        </w:tc>
      </w:tr>
      <w:tr w:rsidR="005C59CB" w:rsidRPr="005C59CB" w:rsidTr="005C59CB">
        <w:trPr>
          <w:tblCellSpacing w:w="0"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2010-11</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1.334</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2.365</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433</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1.019</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1.767</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3.384</w:t>
            </w:r>
          </w:p>
        </w:tc>
      </w:tr>
      <w:tr w:rsidR="005C59CB" w:rsidRPr="005C59CB" w:rsidTr="005C59CB">
        <w:trPr>
          <w:tblCellSpacing w:w="0"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2011-12</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1.121</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1.889</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593</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1.388</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1.714</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3.277</w:t>
            </w:r>
          </w:p>
        </w:tc>
      </w:tr>
      <w:tr w:rsidR="005C59CB" w:rsidRPr="005C59CB" w:rsidTr="005C59CB">
        <w:trPr>
          <w:tblCellSpacing w:w="0" w:type="dxa"/>
        </w:trPr>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rPr>
                <w:rFonts w:eastAsia="Times New Roman" w:cs="Times New Roman"/>
                <w:sz w:val="24"/>
                <w:szCs w:val="24"/>
              </w:rPr>
            </w:pPr>
            <w:r w:rsidRPr="005C59CB">
              <w:rPr>
                <w:rFonts w:eastAsia="Times New Roman" w:cs="Times New Roman"/>
                <w:sz w:val="24"/>
                <w:szCs w:val="24"/>
              </w:rPr>
              <w:t>2012-13</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984</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1.743</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716</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1.718</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1.700</w:t>
            </w:r>
          </w:p>
        </w:tc>
        <w:tc>
          <w:tcPr>
            <w:tcW w:w="1260" w:type="dxa"/>
            <w:tcBorders>
              <w:top w:val="outset" w:sz="6" w:space="0" w:color="auto"/>
              <w:left w:val="outset" w:sz="6" w:space="0" w:color="auto"/>
              <w:bottom w:val="outset" w:sz="6" w:space="0" w:color="auto"/>
              <w:right w:val="outset" w:sz="6" w:space="0" w:color="auto"/>
            </w:tcBorders>
            <w:vAlign w:val="center"/>
            <w:hideMark/>
          </w:tcPr>
          <w:p w:rsidR="005C59CB" w:rsidRPr="005C59CB" w:rsidRDefault="005C59CB" w:rsidP="005C59CB">
            <w:pPr>
              <w:spacing w:after="0" w:line="240" w:lineRule="auto"/>
              <w:jc w:val="center"/>
              <w:rPr>
                <w:rFonts w:eastAsia="Times New Roman" w:cs="Times New Roman"/>
                <w:sz w:val="24"/>
                <w:szCs w:val="24"/>
              </w:rPr>
            </w:pPr>
            <w:r w:rsidRPr="005C59CB">
              <w:rPr>
                <w:rFonts w:eastAsia="Times New Roman" w:cs="Times New Roman"/>
                <w:sz w:val="24"/>
                <w:szCs w:val="24"/>
              </w:rPr>
              <w:t>3.461</w:t>
            </w:r>
          </w:p>
        </w:tc>
      </w:tr>
    </w:tbl>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b/>
          <w:bCs/>
          <w:color w:val="494949"/>
          <w:sz w:val="18"/>
          <w:szCs w:val="18"/>
        </w:rPr>
        <w:t>Nguồn: Cục thống kê nông nghiệp Pakistan và Trung tâm thông báo vụ mùa, Punjab</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 </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b/>
          <w:bCs/>
          <w:color w:val="494949"/>
          <w:sz w:val="18"/>
          <w:szCs w:val="18"/>
        </w:rPr>
        <w:t>3. Đường</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Mưa nhiều đã tạo thuận lợi cho vụ mùa mía đường niên vụ 2012-13. Theo như báo cáo, sản lượng đường sẽ đạt 62 triệu tấn, cao hơn so với mức 59 triệu tấn như mục tiêu đã đặt ra.</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Tuy nhiên, người nông dân vẫn phải chịu thiệt do (1) giá đường trong nước giảm (2) không thu hồi được vốn đầu tư bởi thu hoạch chậm do thông báo mức giá mua tổi thiểu muộn tại các tỉnh. Đây cũng là lí do kéo theo việc tiến hành chậm mùa nghiền của các nhà máy. Một lí do khác thu hoạch chậm là do các nhà máy vẫn chưa đạt được sự thoả thuận cuối cùng đối với người nông dân khi thu mua mía.</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Mặc dù nảy sinh nhiều vấn đề trong chuỗi cung ứng, nhưng mía đường vãn là một mặt hàng hỗ trợ tăng trưởng trong ngành nông nghiệp Pakistan và tăng xuất khẩu trong ngành này.</w:t>
      </w:r>
    </w:p>
    <w:p w:rsidR="005C59CB" w:rsidRPr="005C59CB" w:rsidRDefault="005C59CB" w:rsidP="005C59CB">
      <w:pPr>
        <w:spacing w:after="0" w:line="240" w:lineRule="auto"/>
        <w:rPr>
          <w:rFonts w:ascii="Arial" w:eastAsia="Times New Roman" w:hAnsi="Arial" w:cs="Arial"/>
          <w:color w:val="494949"/>
          <w:sz w:val="18"/>
          <w:szCs w:val="18"/>
        </w:rPr>
      </w:pPr>
      <w:r w:rsidRPr="005C59CB">
        <w:rPr>
          <w:rFonts w:ascii="Arial" w:eastAsia="Times New Roman" w:hAnsi="Arial" w:cs="Arial"/>
          <w:b/>
          <w:bCs/>
          <w:color w:val="494949"/>
          <w:sz w:val="18"/>
          <w:szCs w:val="18"/>
        </w:rPr>
        <w:t>4. Lúa mì</w:t>
      </w:r>
    </w:p>
    <w:p w:rsidR="005C59CB" w:rsidRPr="005C59CB" w:rsidRDefault="005C59CB" w:rsidP="005C59CB">
      <w:pPr>
        <w:spacing w:line="240" w:lineRule="auto"/>
        <w:rPr>
          <w:rFonts w:ascii="Arial" w:eastAsia="Times New Roman" w:hAnsi="Arial" w:cs="Arial"/>
          <w:color w:val="494949"/>
          <w:sz w:val="18"/>
          <w:szCs w:val="18"/>
        </w:rPr>
      </w:pPr>
      <w:r w:rsidRPr="005C59CB">
        <w:rPr>
          <w:rFonts w:ascii="Arial" w:eastAsia="Times New Roman" w:hAnsi="Arial" w:cs="Arial"/>
          <w:color w:val="494949"/>
          <w:sz w:val="18"/>
          <w:szCs w:val="18"/>
        </w:rPr>
        <w:t>Vụ mùa lúa mì hiện nay đang trong giai đoạn gieo hạt. Mặc dù thời gian gieo hạt chậm tại một số  nơi do thu hoạch đường muộn, nhưng do mưa kịp thời, ổn định giá đầu vào và tăng giá trợ cấp lúa mì từ 1.050 rupi lên 1.200 rupi/ 40 kg, dự báo sẽ giúp cho mùa lúa mì năm nay bội thu.</w:t>
      </w:r>
    </w:p>
    <w:p w:rsidR="00AA1695" w:rsidRPr="005C59CB" w:rsidRDefault="00AA1695" w:rsidP="005C59CB">
      <w:bookmarkStart w:id="0" w:name="_GoBack"/>
      <w:bookmarkEnd w:id="0"/>
    </w:p>
    <w:sectPr w:rsidR="00AA1695" w:rsidRPr="005C59CB"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012A8"/>
    <w:multiLevelType w:val="multilevel"/>
    <w:tmpl w:val="F38AA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987"/>
    <w:rsid w:val="00085987"/>
    <w:rsid w:val="00241D7E"/>
    <w:rsid w:val="003740F2"/>
    <w:rsid w:val="005C59CB"/>
    <w:rsid w:val="00782F3C"/>
    <w:rsid w:val="007D2F20"/>
    <w:rsid w:val="007D6AAB"/>
    <w:rsid w:val="00925F39"/>
    <w:rsid w:val="00AA1695"/>
    <w:rsid w:val="00E86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B4E0E-8BD8-4968-A403-60295EF7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7D6AAB"/>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5987"/>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085987"/>
    <w:rPr>
      <w:color w:val="0000FF"/>
      <w:u w:val="single"/>
    </w:rPr>
  </w:style>
  <w:style w:type="character" w:styleId="Strong">
    <w:name w:val="Strong"/>
    <w:basedOn w:val="DefaultParagraphFont"/>
    <w:uiPriority w:val="22"/>
    <w:qFormat/>
    <w:rsid w:val="00085987"/>
    <w:rPr>
      <w:b/>
      <w:bCs/>
    </w:rPr>
  </w:style>
  <w:style w:type="character" w:styleId="Emphasis">
    <w:name w:val="Emphasis"/>
    <w:basedOn w:val="DefaultParagraphFont"/>
    <w:uiPriority w:val="20"/>
    <w:qFormat/>
    <w:rsid w:val="00241D7E"/>
    <w:rPr>
      <w:i/>
      <w:iCs/>
    </w:rPr>
  </w:style>
  <w:style w:type="character" w:customStyle="1" w:styleId="Heading1Char">
    <w:name w:val="Heading 1 Char"/>
    <w:basedOn w:val="DefaultParagraphFont"/>
    <w:link w:val="Heading1"/>
    <w:uiPriority w:val="9"/>
    <w:rsid w:val="007D6AAB"/>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728407">
      <w:bodyDiv w:val="1"/>
      <w:marLeft w:val="0"/>
      <w:marRight w:val="0"/>
      <w:marTop w:val="0"/>
      <w:marBottom w:val="0"/>
      <w:divBdr>
        <w:top w:val="none" w:sz="0" w:space="0" w:color="auto"/>
        <w:left w:val="none" w:sz="0" w:space="0" w:color="auto"/>
        <w:bottom w:val="none" w:sz="0" w:space="0" w:color="auto"/>
        <w:right w:val="none" w:sz="0" w:space="0" w:color="auto"/>
      </w:divBdr>
      <w:divsChild>
        <w:div w:id="1390809312">
          <w:marLeft w:val="0"/>
          <w:marRight w:val="0"/>
          <w:marTop w:val="0"/>
          <w:marBottom w:val="150"/>
          <w:divBdr>
            <w:top w:val="none" w:sz="0" w:space="0" w:color="auto"/>
            <w:left w:val="none" w:sz="0" w:space="0" w:color="auto"/>
            <w:bottom w:val="none" w:sz="0" w:space="0" w:color="auto"/>
            <w:right w:val="none" w:sz="0" w:space="0" w:color="auto"/>
          </w:divBdr>
        </w:div>
        <w:div w:id="11496630">
          <w:marLeft w:val="0"/>
          <w:marRight w:val="0"/>
          <w:marTop w:val="0"/>
          <w:marBottom w:val="300"/>
          <w:divBdr>
            <w:top w:val="none" w:sz="0" w:space="0" w:color="auto"/>
            <w:left w:val="none" w:sz="0" w:space="0" w:color="auto"/>
            <w:bottom w:val="none" w:sz="0" w:space="0" w:color="auto"/>
            <w:right w:val="none" w:sz="0" w:space="0" w:color="auto"/>
          </w:divBdr>
        </w:div>
      </w:divsChild>
    </w:div>
    <w:div w:id="1135369573">
      <w:bodyDiv w:val="1"/>
      <w:marLeft w:val="0"/>
      <w:marRight w:val="0"/>
      <w:marTop w:val="0"/>
      <w:marBottom w:val="0"/>
      <w:divBdr>
        <w:top w:val="none" w:sz="0" w:space="0" w:color="auto"/>
        <w:left w:val="none" w:sz="0" w:space="0" w:color="auto"/>
        <w:bottom w:val="none" w:sz="0" w:space="0" w:color="auto"/>
        <w:right w:val="none" w:sz="0" w:space="0" w:color="auto"/>
      </w:divBdr>
      <w:divsChild>
        <w:div w:id="753472080">
          <w:marLeft w:val="0"/>
          <w:marRight w:val="0"/>
          <w:marTop w:val="0"/>
          <w:marBottom w:val="150"/>
          <w:divBdr>
            <w:top w:val="none" w:sz="0" w:space="0" w:color="auto"/>
            <w:left w:val="none" w:sz="0" w:space="0" w:color="auto"/>
            <w:bottom w:val="none" w:sz="0" w:space="0" w:color="auto"/>
            <w:right w:val="none" w:sz="0" w:space="0" w:color="auto"/>
          </w:divBdr>
        </w:div>
        <w:div w:id="368260648">
          <w:marLeft w:val="0"/>
          <w:marRight w:val="0"/>
          <w:marTop w:val="0"/>
          <w:marBottom w:val="300"/>
          <w:divBdr>
            <w:top w:val="none" w:sz="0" w:space="0" w:color="auto"/>
            <w:left w:val="none" w:sz="0" w:space="0" w:color="auto"/>
            <w:bottom w:val="none" w:sz="0" w:space="0" w:color="auto"/>
            <w:right w:val="none" w:sz="0" w:space="0" w:color="auto"/>
          </w:divBdr>
        </w:div>
      </w:divsChild>
    </w:div>
    <w:div w:id="1254360588">
      <w:bodyDiv w:val="1"/>
      <w:marLeft w:val="0"/>
      <w:marRight w:val="0"/>
      <w:marTop w:val="0"/>
      <w:marBottom w:val="0"/>
      <w:divBdr>
        <w:top w:val="none" w:sz="0" w:space="0" w:color="auto"/>
        <w:left w:val="none" w:sz="0" w:space="0" w:color="auto"/>
        <w:bottom w:val="none" w:sz="0" w:space="0" w:color="auto"/>
        <w:right w:val="none" w:sz="0" w:space="0" w:color="auto"/>
      </w:divBdr>
      <w:divsChild>
        <w:div w:id="1431465787">
          <w:marLeft w:val="0"/>
          <w:marRight w:val="0"/>
          <w:marTop w:val="0"/>
          <w:marBottom w:val="150"/>
          <w:divBdr>
            <w:top w:val="none" w:sz="0" w:space="0" w:color="auto"/>
            <w:left w:val="none" w:sz="0" w:space="0" w:color="auto"/>
            <w:bottom w:val="none" w:sz="0" w:space="0" w:color="auto"/>
            <w:right w:val="none" w:sz="0" w:space="0" w:color="auto"/>
          </w:divBdr>
        </w:div>
        <w:div w:id="1120152679">
          <w:marLeft w:val="0"/>
          <w:marRight w:val="0"/>
          <w:marTop w:val="0"/>
          <w:marBottom w:val="300"/>
          <w:divBdr>
            <w:top w:val="none" w:sz="0" w:space="0" w:color="auto"/>
            <w:left w:val="none" w:sz="0" w:space="0" w:color="auto"/>
            <w:bottom w:val="none" w:sz="0" w:space="0" w:color="auto"/>
            <w:right w:val="none" w:sz="0" w:space="0" w:color="auto"/>
          </w:divBdr>
        </w:div>
      </w:divsChild>
    </w:div>
    <w:div w:id="1497452667">
      <w:bodyDiv w:val="1"/>
      <w:marLeft w:val="0"/>
      <w:marRight w:val="0"/>
      <w:marTop w:val="0"/>
      <w:marBottom w:val="0"/>
      <w:divBdr>
        <w:top w:val="none" w:sz="0" w:space="0" w:color="auto"/>
        <w:left w:val="none" w:sz="0" w:space="0" w:color="auto"/>
        <w:bottom w:val="none" w:sz="0" w:space="0" w:color="auto"/>
        <w:right w:val="none" w:sz="0" w:space="0" w:color="auto"/>
      </w:divBdr>
      <w:divsChild>
        <w:div w:id="1806267641">
          <w:marLeft w:val="0"/>
          <w:marRight w:val="0"/>
          <w:marTop w:val="0"/>
          <w:marBottom w:val="150"/>
          <w:divBdr>
            <w:top w:val="none" w:sz="0" w:space="0" w:color="auto"/>
            <w:left w:val="none" w:sz="0" w:space="0" w:color="auto"/>
            <w:bottom w:val="none" w:sz="0" w:space="0" w:color="auto"/>
            <w:right w:val="none" w:sz="0" w:space="0" w:color="auto"/>
          </w:divBdr>
        </w:div>
        <w:div w:id="914245092">
          <w:marLeft w:val="0"/>
          <w:marRight w:val="0"/>
          <w:marTop w:val="0"/>
          <w:marBottom w:val="300"/>
          <w:divBdr>
            <w:top w:val="none" w:sz="0" w:space="0" w:color="auto"/>
            <w:left w:val="none" w:sz="0" w:space="0" w:color="auto"/>
            <w:bottom w:val="none" w:sz="0" w:space="0" w:color="auto"/>
            <w:right w:val="none" w:sz="0" w:space="0" w:color="auto"/>
          </w:divBdr>
        </w:div>
      </w:divsChild>
    </w:div>
    <w:div w:id="1718163695">
      <w:bodyDiv w:val="1"/>
      <w:marLeft w:val="0"/>
      <w:marRight w:val="0"/>
      <w:marTop w:val="0"/>
      <w:marBottom w:val="0"/>
      <w:divBdr>
        <w:top w:val="none" w:sz="0" w:space="0" w:color="auto"/>
        <w:left w:val="none" w:sz="0" w:space="0" w:color="auto"/>
        <w:bottom w:val="none" w:sz="0" w:space="0" w:color="auto"/>
        <w:right w:val="none" w:sz="0" w:space="0" w:color="auto"/>
      </w:divBdr>
      <w:divsChild>
        <w:div w:id="1963342525">
          <w:marLeft w:val="0"/>
          <w:marRight w:val="0"/>
          <w:marTop w:val="0"/>
          <w:marBottom w:val="150"/>
          <w:divBdr>
            <w:top w:val="none" w:sz="0" w:space="0" w:color="auto"/>
            <w:left w:val="none" w:sz="0" w:space="0" w:color="auto"/>
            <w:bottom w:val="none" w:sz="0" w:space="0" w:color="auto"/>
            <w:right w:val="none" w:sz="0" w:space="0" w:color="auto"/>
          </w:divBdr>
        </w:div>
        <w:div w:id="2036691455">
          <w:marLeft w:val="0"/>
          <w:marRight w:val="0"/>
          <w:marTop w:val="0"/>
          <w:marBottom w:val="300"/>
          <w:divBdr>
            <w:top w:val="none" w:sz="0" w:space="0" w:color="auto"/>
            <w:left w:val="none" w:sz="0" w:space="0" w:color="auto"/>
            <w:bottom w:val="none" w:sz="0" w:space="0" w:color="auto"/>
            <w:right w:val="none" w:sz="0" w:space="0" w:color="auto"/>
          </w:divBdr>
        </w:div>
      </w:divsChild>
    </w:div>
    <w:div w:id="1740519702">
      <w:bodyDiv w:val="1"/>
      <w:marLeft w:val="0"/>
      <w:marRight w:val="0"/>
      <w:marTop w:val="0"/>
      <w:marBottom w:val="0"/>
      <w:divBdr>
        <w:top w:val="none" w:sz="0" w:space="0" w:color="auto"/>
        <w:left w:val="none" w:sz="0" w:space="0" w:color="auto"/>
        <w:bottom w:val="none" w:sz="0" w:space="0" w:color="auto"/>
        <w:right w:val="none" w:sz="0" w:space="0" w:color="auto"/>
      </w:divBdr>
      <w:divsChild>
        <w:div w:id="318507751">
          <w:marLeft w:val="0"/>
          <w:marRight w:val="0"/>
          <w:marTop w:val="0"/>
          <w:marBottom w:val="150"/>
          <w:divBdr>
            <w:top w:val="none" w:sz="0" w:space="0" w:color="auto"/>
            <w:left w:val="none" w:sz="0" w:space="0" w:color="auto"/>
            <w:bottom w:val="none" w:sz="0" w:space="0" w:color="auto"/>
            <w:right w:val="none" w:sz="0" w:space="0" w:color="auto"/>
          </w:divBdr>
        </w:div>
        <w:div w:id="2077047298">
          <w:marLeft w:val="0"/>
          <w:marRight w:val="0"/>
          <w:marTop w:val="0"/>
          <w:marBottom w:val="300"/>
          <w:divBdr>
            <w:top w:val="none" w:sz="0" w:space="0" w:color="auto"/>
            <w:left w:val="none" w:sz="0" w:space="0" w:color="auto"/>
            <w:bottom w:val="none" w:sz="0" w:space="0" w:color="auto"/>
            <w:right w:val="none" w:sz="0" w:space="0" w:color="auto"/>
          </w:divBdr>
        </w:div>
      </w:divsChild>
    </w:div>
    <w:div w:id="2045058910">
      <w:bodyDiv w:val="1"/>
      <w:marLeft w:val="0"/>
      <w:marRight w:val="0"/>
      <w:marTop w:val="0"/>
      <w:marBottom w:val="0"/>
      <w:divBdr>
        <w:top w:val="none" w:sz="0" w:space="0" w:color="auto"/>
        <w:left w:val="none" w:sz="0" w:space="0" w:color="auto"/>
        <w:bottom w:val="none" w:sz="0" w:space="0" w:color="auto"/>
        <w:right w:val="none" w:sz="0" w:space="0" w:color="auto"/>
      </w:divBdr>
      <w:divsChild>
        <w:div w:id="2015843559">
          <w:marLeft w:val="0"/>
          <w:marRight w:val="0"/>
          <w:marTop w:val="0"/>
          <w:marBottom w:val="150"/>
          <w:divBdr>
            <w:top w:val="none" w:sz="0" w:space="0" w:color="auto"/>
            <w:left w:val="none" w:sz="0" w:space="0" w:color="auto"/>
            <w:bottom w:val="none" w:sz="0" w:space="0" w:color="auto"/>
            <w:right w:val="none" w:sz="0" w:space="0" w:color="auto"/>
          </w:divBdr>
        </w:div>
        <w:div w:id="12197789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836</Words>
  <Characters>4767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2022-08-03T13:31:00Z</dcterms:created>
  <dcterms:modified xsi:type="dcterms:W3CDTF">2022-08-03T13:31:00Z</dcterms:modified>
</cp:coreProperties>
</file>