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2AE7D" w14:textId="77777777" w:rsidR="001004C6" w:rsidRPr="001004C6" w:rsidRDefault="001004C6" w:rsidP="001004C6">
      <w:pPr>
        <w:jc w:val="center"/>
        <w:outlineLvl w:val="0"/>
        <w:rPr>
          <w:rFonts w:ascii="Times New Roman" w:eastAsia="Times New Roman" w:hAnsi="Times New Roman" w:cs="Times New Roman"/>
          <w:b/>
          <w:bCs/>
          <w:color w:val="000000" w:themeColor="text1"/>
          <w:kern w:val="36"/>
        </w:rPr>
      </w:pPr>
      <w:r w:rsidRPr="001004C6">
        <w:rPr>
          <w:rFonts w:ascii="Times New Roman" w:eastAsia="Times New Roman" w:hAnsi="Times New Roman" w:cs="Times New Roman"/>
          <w:b/>
          <w:bCs/>
          <w:color w:val="000000" w:themeColor="text1"/>
          <w:kern w:val="36"/>
        </w:rPr>
        <w:t>Quá trình tái cấu trúc kinh tế của Rumani</w:t>
      </w:r>
    </w:p>
    <w:p w14:paraId="138CE82D" w14:textId="77777777" w:rsidR="001004C6" w:rsidRPr="001004C6" w:rsidRDefault="001004C6" w:rsidP="001004C6">
      <w:pPr>
        <w:jc w:val="both"/>
        <w:rPr>
          <w:rFonts w:ascii="Times New Roman" w:eastAsia="Times New Roman" w:hAnsi="Times New Roman" w:cs="Times New Roman"/>
          <w:b/>
          <w:bCs/>
          <w:color w:val="000000" w:themeColor="text1"/>
        </w:rPr>
      </w:pPr>
      <w:r w:rsidRPr="001004C6">
        <w:rPr>
          <w:rFonts w:ascii="Times New Roman" w:eastAsia="Times New Roman" w:hAnsi="Times New Roman" w:cs="Times New Roman"/>
          <w:b/>
          <w:bCs/>
          <w:color w:val="000000" w:themeColor="text1"/>
        </w:rPr>
        <w:t>Tại Rumani, quá trình thực hiện tái cấu trúc kinh tế, xử lý nợ công và cải cách doanh nghiệp nhà nước phụ thuộc chủ yếu vào các khoản vay tài chính do Quỹ Tiền tệ Quốc tế (IMF) và Ngân hàng Thế giới (WB) cung cấp.</w:t>
      </w:r>
    </w:p>
    <w:p w14:paraId="1FB3B614"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Nguồn ngân sách cho vay này được gọi là "Chương trình cho vay điều chỉnh cơ cấu" (SAP) với mục tiêu là cải thiện và thiết lập sự cân bằng của cán cân tài chính quốc gia. Nguồn gốc của cho vay tái cơ cấu kinh tế xuất phát từ sự ứng phó với các cuộc khủng hoảng liên tiếp trong thập niên 70 và 80 của thế kỷ trước.  Thông thường, các chương trình này dành cho các nước đang phát triển và buộc các nước thực hiện tái cơ cấu theo hướng thị trường tự do, cải cách cả khu vực nội địa và đối ngoại, đặc biệt là giảm các rào cản thương mại quốc tế.</w:t>
      </w:r>
    </w:p>
    <w:p w14:paraId="4C5CEBCA"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Biện pháp tái cấu trúc kinh tế, xử lý nợ công và cổ phần hóa DNNN tại Rumani bao gồm các hoạt động sau:</w:t>
      </w:r>
    </w:p>
    <w:p w14:paraId="23CE8C03"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Cắt giảm chi tiêu chính phủ và thâm hụt ngân sách - hay còn gọi là chính sách</w:t>
      </w:r>
      <w:r w:rsidRPr="001004C6">
        <w:rPr>
          <w:rFonts w:ascii="Times New Roman" w:eastAsia="Times New Roman" w:hAnsi="Times New Roman" w:cs="Times New Roman"/>
          <w:color w:val="000000" w:themeColor="text1"/>
        </w:rPr>
        <w:br/>
        <w:t>thắt lưng buộc bụng. Chính sách này đã được áp dụng tại Rumani, tuy nhiên chỉ ở mức độ bình thường, không gay gắt như tại các quốc gia đi vay có tình trạng lạm phát, thâm hụt ngân sách, nợ công trầm trọng như các quốc gia Mỹ Latinh, châu Á, Hy Lạp…</w:t>
      </w:r>
    </w:p>
    <w:p w14:paraId="45DE0A95"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Tập trung vào khu vực sản xuất hàng xuất khẩu và khai thác tài nguyên.</w:t>
      </w:r>
    </w:p>
    <w:p w14:paraId="7248D882"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Tự do hóa thương mại hay dỡ bỏ các hạn chế xuất nhập khẩu.</w:t>
      </w:r>
    </w:p>
    <w:p w14:paraId="6FA6E005"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Nâng cao sự ổn định của nguồn đầu tư bằng cách mở cửa cho nguồn vốn đầu</w:t>
      </w:r>
      <w:r w:rsidRPr="001004C6">
        <w:rPr>
          <w:rFonts w:ascii="Times New Roman" w:eastAsia="Times New Roman" w:hAnsi="Times New Roman" w:cs="Times New Roman"/>
          <w:color w:val="000000" w:themeColor="text1"/>
        </w:rPr>
        <w:br/>
        <w:t>tư nước ngoài.</w:t>
      </w:r>
    </w:p>
    <w:p w14:paraId="6FED1620"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Dỡ bỏ kiểm soát giá cả và trợ cấp chính phủ.</w:t>
      </w:r>
    </w:p>
    <w:p w14:paraId="7576C2A2"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Tư nhân hóa và giải thể các doanh nghiệp nhà nước.</w:t>
      </w:r>
    </w:p>
    <w:p w14:paraId="6815A82D"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Nâng cao khả năng quản trị và phòng chống tham nhũng.</w:t>
      </w:r>
    </w:p>
    <w:p w14:paraId="21E1B2C5"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Tác động của tái cấu trúc kinh tế theo chương trình của IMF và WB tại Rumani và các nước đang phát triển theo cách tiếp cận cơ cấu ngành: nông nghiệp, công nghiệp và dịch vụ. Trên thực tế mô hình tái cấu trúc kinh tế này có xu hướng làm tăng tỷ trọng khu vực dịch vụ và giảm tỷ trọng của các khu vực nông nghiệp và công nghiệp.</w:t>
      </w:r>
    </w:p>
    <w:p w14:paraId="6A940309"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Theo các chuyên gia, tái cơ cấu kinh tế theo chương trình của IMF/WB mặc dù có làm thay đổi cơ cấu kinh tế, nhưng cơ cấu mới không tiến bộ nhiều so với cơ cấu cũ vì nhìn chung các ngành nông nghiệp và công nghiệp ít được ưu tiên đầu tư phát triển, trình độ công nghệ và sức cạnh tranh không gia tăng nhiều…</w:t>
      </w:r>
    </w:p>
    <w:p w14:paraId="4B455772"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Tại Rumani, Ngân hàng Thế giới còn tham gia vào quá trình này thông qua các khoản cho vay điều chỉnh cơ cấu (adjustment loan), hỗ trợ cải cách và thúc đẩy tư nhân hóa các doanh nghiệp quốc doanh. Các hoạt động tái cơ cấu kinh tế diễn ra theo nhiều hình thức, chẳng hạn tái cấu trúc theo hướng thúc đẩy chuyển giao công nghệ và thông tin thị trường hay tư nhân hóa hàng loạt DNNN và giải quyết các vấn đề vĩ mô theo từng lĩnh vực.</w:t>
      </w:r>
    </w:p>
    <w:p w14:paraId="3E388ED3"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Kinh nghiệm của Rumani cho thấy tái cấu trúc kinh tế trước khi ổn định vĩ mô sẽ không tối đa hóa được hiệu quả của tái cơ cấu. Kinh tế vĩ mô không ổn định thường ngăn cản các cải cách mạnh mẽ do lo ngại cải cách sẽ làm ảnh hưởng sự ổn định. Mặt khác, chỉ khi kinh tế vĩ mô ổn định thì cải cách tại các doanh nghiệp, chẳng hạn cổ phần hóa, tư nhân hóa mới thu hút được nhiều nguồn lực.   </w:t>
      </w:r>
    </w:p>
    <w:p w14:paraId="1ACC0966"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 xml:space="preserve">Mặt khác tự do hóa thị trường là yếu tố quan trọng góp phần vào thành công tái cơ cấu, thúc đẩy và tăng cường môi trường cạnh tranh, tự do hóa giá cả, cải thiện thương mại quốc tế và môi trường luật pháp. Ngoài ra chính sách lao động thúc đẩy việc tái phân bổ lao động và hỗ trợ lao động bị ảnh hưởng bởi tái cơ cấu cũng giúp tái cơ cấu được thực hiện dễ dàng và hiệu quả, giảm thiểu sự phản ứng xã hội đối với quá trình tái cơ cấu. Các rào cản đốì với việc tái cơ cấu lao động cần phải </w:t>
      </w:r>
      <w:r w:rsidRPr="001004C6">
        <w:rPr>
          <w:rFonts w:ascii="Times New Roman" w:eastAsia="Times New Roman" w:hAnsi="Times New Roman" w:cs="Times New Roman"/>
          <w:color w:val="000000" w:themeColor="text1"/>
        </w:rPr>
        <w:lastRenderedPageBreak/>
        <w:t>được xác định và giải quyết, chẳng hạn bằng cách hỗ trợ đào tạo lại, cung ứng nhà ở cho công nhân v.v…</w:t>
      </w:r>
    </w:p>
    <w:p w14:paraId="2091523E" w14:textId="77777777" w:rsidR="001004C6" w:rsidRPr="001004C6" w:rsidRDefault="001004C6" w:rsidP="001004C6">
      <w:pPr>
        <w:jc w:val="both"/>
        <w:rPr>
          <w:rFonts w:ascii="Times New Roman" w:eastAsia="Times New Roman" w:hAnsi="Times New Roman" w:cs="Times New Roman"/>
          <w:color w:val="000000" w:themeColor="text1"/>
        </w:rPr>
      </w:pPr>
      <w:r w:rsidRPr="001004C6">
        <w:rPr>
          <w:rFonts w:ascii="Times New Roman" w:eastAsia="Times New Roman" w:hAnsi="Times New Roman" w:cs="Times New Roman"/>
          <w:color w:val="000000" w:themeColor="text1"/>
        </w:rPr>
        <w:t>Cuối cùng tái cơ cấu sở hữu có vai trò quan trọng trong hoạt động tái cơ cấu ngành nghề. Khi Chính phủ cam kết thực hiện mạnh mẽ quá trình tư nhân hóa, khu vực tư nhân cũng được đầu tư mạnh hơn. Ngoài ra cải tiến cơ chế quản lý cũng thúc đẩy mạnh quá trình tái cấu trúc kinh tế, dù không thay đổi cơ cấu sở hữu.</w:t>
      </w:r>
    </w:p>
    <w:p w14:paraId="020CD33E" w14:textId="77777777" w:rsidR="001004C6" w:rsidRPr="001004C6" w:rsidRDefault="001004C6" w:rsidP="001004C6">
      <w:pPr>
        <w:jc w:val="both"/>
        <w:rPr>
          <w:rFonts w:ascii="Times New Roman" w:eastAsia="Times New Roman" w:hAnsi="Times New Roman" w:cs="Times New Roman"/>
          <w:color w:val="000000" w:themeColor="text1"/>
        </w:rPr>
      </w:pPr>
    </w:p>
    <w:p w14:paraId="555DCE80" w14:textId="77777777" w:rsidR="00DD12EB" w:rsidRPr="001004C6" w:rsidRDefault="00DD12EB" w:rsidP="001004C6">
      <w:pPr>
        <w:jc w:val="both"/>
        <w:rPr>
          <w:rFonts w:ascii="Times New Roman" w:hAnsi="Times New Roman" w:cs="Times New Roman"/>
          <w:color w:val="000000" w:themeColor="text1"/>
        </w:rPr>
      </w:pPr>
    </w:p>
    <w:sectPr w:rsidR="00DD12EB" w:rsidRPr="001004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4C6"/>
    <w:rsid w:val="001004C6"/>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2FE32A34"/>
  <w15:chartTrackingRefBased/>
  <w15:docId w15:val="{1450029F-6DA4-B548-AAC8-4AFC7C50A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04C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4C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004C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657551">
      <w:bodyDiv w:val="1"/>
      <w:marLeft w:val="0"/>
      <w:marRight w:val="0"/>
      <w:marTop w:val="0"/>
      <w:marBottom w:val="0"/>
      <w:divBdr>
        <w:top w:val="none" w:sz="0" w:space="0" w:color="auto"/>
        <w:left w:val="none" w:sz="0" w:space="0" w:color="auto"/>
        <w:bottom w:val="none" w:sz="0" w:space="0" w:color="auto"/>
        <w:right w:val="none" w:sz="0" w:space="0" w:color="auto"/>
      </w:divBdr>
      <w:divsChild>
        <w:div w:id="754668095">
          <w:marLeft w:val="0"/>
          <w:marRight w:val="0"/>
          <w:marTop w:val="0"/>
          <w:marBottom w:val="225"/>
          <w:divBdr>
            <w:top w:val="none" w:sz="0" w:space="0" w:color="auto"/>
            <w:left w:val="none" w:sz="0" w:space="0" w:color="auto"/>
            <w:bottom w:val="none" w:sz="0" w:space="0" w:color="auto"/>
            <w:right w:val="none" w:sz="0" w:space="0" w:color="auto"/>
          </w:divBdr>
        </w:div>
        <w:div w:id="1218005305">
          <w:marLeft w:val="0"/>
          <w:marRight w:val="0"/>
          <w:marTop w:val="0"/>
          <w:marBottom w:val="150"/>
          <w:divBdr>
            <w:top w:val="none" w:sz="0" w:space="0" w:color="auto"/>
            <w:left w:val="none" w:sz="0" w:space="0" w:color="auto"/>
            <w:bottom w:val="none" w:sz="0" w:space="0" w:color="auto"/>
            <w:right w:val="none" w:sz="0" w:space="0" w:color="auto"/>
          </w:divBdr>
        </w:div>
        <w:div w:id="495657337">
          <w:marLeft w:val="0"/>
          <w:marRight w:val="0"/>
          <w:marTop w:val="0"/>
          <w:marBottom w:val="300"/>
          <w:divBdr>
            <w:top w:val="none" w:sz="0" w:space="0" w:color="auto"/>
            <w:left w:val="none" w:sz="0" w:space="0" w:color="auto"/>
            <w:bottom w:val="none" w:sz="0" w:space="0" w:color="auto"/>
            <w:right w:val="none" w:sz="0" w:space="0" w:color="auto"/>
          </w:divBdr>
        </w:div>
        <w:div w:id="611983551">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591</Words>
  <Characters>3375</Characters>
  <Application>Microsoft Office Word</Application>
  <DocSecurity>0</DocSecurity>
  <Lines>28</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2022-08-05T04:47:00Z</dcterms:created>
  <dcterms:modified xsi:type="dcterms:W3CDTF">2022-08-05T04:48:00Z</dcterms:modified>
</cp:coreProperties>
</file>