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9E" w:rsidRPr="008E779E" w:rsidRDefault="008E779E" w:rsidP="008E779E">
      <w:pPr>
        <w:spacing w:after="150" w:line="240" w:lineRule="auto"/>
        <w:rPr>
          <w:rFonts w:ascii="Arial" w:eastAsia="Times New Roman" w:hAnsi="Arial" w:cs="Arial"/>
          <w:b/>
          <w:bCs/>
          <w:color w:val="494949"/>
          <w:sz w:val="18"/>
          <w:szCs w:val="18"/>
        </w:rPr>
      </w:pPr>
      <w:r w:rsidRPr="008E779E">
        <w:rPr>
          <w:rFonts w:ascii="Arial" w:eastAsia="Times New Roman" w:hAnsi="Arial" w:cs="Arial"/>
          <w:b/>
          <w:bCs/>
          <w:color w:val="494949"/>
          <w:sz w:val="18"/>
          <w:szCs w:val="18"/>
        </w:rPr>
        <w:t>1. Các thủ tục chính Hàng hoá được thông quan ở trụ sở hải quan tại các điểm thông quan cửa khẩu đường bộ, đường biển hoặc đường hàng không. Người nhập khẩu phải kê khai và hợp thức hoá tờ khai chi tiết trên máy tính. Bản thân tờ khai và các giấy tờ liên quan phải nộp trực tiếp cho cơ quan hải quan trong thời gian quy định (24h đối với hàng tiêu dùng, 5 ngày đối với hàng nhập khẩu theo quy định của hải quan và 15 ngày đối với hàng chuyển tải. Sau khi tất cả các giấy tờ đã được kiểm tra, tờ khai sẽ được trả lại cho người nhập khẩu và ghi chú “payable” để được thừa nhận biên lai nộp thuế. Sau đó người nhập khẩu phải thanh toán thuế và các khoản phải trả khác.</w:t>
      </w:r>
    </w:p>
    <w:p w:rsidR="008E779E" w:rsidRPr="008E779E" w:rsidRDefault="008E779E" w:rsidP="008E779E">
      <w:pPr>
        <w:spacing w:line="240" w:lineRule="auto"/>
        <w:rPr>
          <w:rFonts w:ascii="Arial" w:eastAsia="Times New Roman" w:hAnsi="Arial" w:cs="Arial"/>
          <w:color w:val="494949"/>
          <w:sz w:val="18"/>
          <w:szCs w:val="18"/>
        </w:rPr>
      </w:pPr>
      <w:r w:rsidRPr="008E779E">
        <w:rPr>
          <w:rFonts w:ascii="Arial" w:eastAsia="Times New Roman" w:hAnsi="Arial" w:cs="Arial"/>
          <w:color w:val="494949"/>
          <w:sz w:val="18"/>
          <w:szCs w:val="18"/>
        </w:rPr>
        <w:br/>
        <w:t>Để đơn giản hoá các thủ tục thông quan, ở Marốc đã có phương thức thông quan tại chỗ - thông quan ngay tại cơ sở kinh doanh của người nhập khẩu. Phương thức này được áp dụng cho các doanh nghiệp có hoạt động thương mại thường xuyên với bên ngoài nhằm tiết kiệm thời gian làm thủ tục hải quan cho doanh nghiệp. Để được hưởng hình thức thông quan này, doanh nghiệp phải chứng minh sự ổn định tài chính ở mức an toàn và phải có tín dụng thông quan. Hiện nay, hai khu công nghiệp ở Casablanca đã có điểm thông quan tại chỗ.</w:t>
      </w:r>
      <w:r w:rsidRPr="008E779E">
        <w:rPr>
          <w:rFonts w:ascii="Arial" w:eastAsia="Times New Roman" w:hAnsi="Arial" w:cs="Arial"/>
          <w:color w:val="494949"/>
          <w:sz w:val="18"/>
          <w:szCs w:val="18"/>
        </w:rPr>
        <w:br/>
        <w:t>Sau đây là một số biện pháp đơn giản hoá thủ tục hải quan khác của Marốc :</w:t>
      </w:r>
      <w:r w:rsidRPr="008E779E">
        <w:rPr>
          <w:rFonts w:ascii="Arial" w:eastAsia="Times New Roman" w:hAnsi="Arial" w:cs="Arial"/>
          <w:color w:val="494949"/>
          <w:sz w:val="18"/>
          <w:szCs w:val="18"/>
        </w:rPr>
        <w:br/>
        <w:t>- Đưa ra các mẫu tờ khai hải quan mới (mẫu kết hợp, mẫu đơn giản, mẫu bổ sung, và mẫu thông minh); gia hạn cho việc xuất trình tờ khai cho tất cả các loại hàng hoá nhập khẩu; phát triển hệ thống kho bãi; thành lập các trụ sở khu vực, các cơ sở này thực hiện một số thủ tục hải quan, như thanh toán thuế, quản lý tài khoản theo chế độ hải quan; đưa vào các thủ tục đơn giản đối với hàng giao nhanh; sử dụng tín dụng thông quan quốc gia đơn cho tất cả các hoạt động tại các trụ sở hải quan được vi tính hoá thay vì một số tín dụng địa phương; và sử dụng công nghệ thông tin và liên lạc mới.</w:t>
      </w:r>
      <w:r w:rsidRPr="008E779E">
        <w:rPr>
          <w:rFonts w:ascii="Arial" w:eastAsia="Times New Roman" w:hAnsi="Arial" w:cs="Arial"/>
          <w:color w:val="494949"/>
          <w:sz w:val="18"/>
          <w:szCs w:val="18"/>
        </w:rPr>
        <w:br/>
        <w:t>- Để quản lý chi tiết về thời gian thông quan, các thủ tục hải quan được vi tính hoá đã cho phép tính thời gian thực hiện thông quan. Thời gian thông quan trung bình từ 5.5 ngày từ tháng 1 năm 1997 đã giảm xuống còn 24h vào tháng 9 năm 1998 và 52 phút vào tháng 9 năm 2002.</w:t>
      </w:r>
      <w:r w:rsidRPr="008E779E">
        <w:rPr>
          <w:rFonts w:ascii="Arial" w:eastAsia="Times New Roman" w:hAnsi="Arial" w:cs="Arial"/>
          <w:color w:val="494949"/>
          <w:sz w:val="18"/>
          <w:szCs w:val="18"/>
        </w:rPr>
        <w:br/>
        <w:t>2. Trị giá hải quan</w:t>
      </w:r>
      <w:r w:rsidRPr="008E779E">
        <w:rPr>
          <w:rFonts w:ascii="Arial" w:eastAsia="Times New Roman" w:hAnsi="Arial" w:cs="Arial"/>
          <w:color w:val="494949"/>
          <w:sz w:val="18"/>
          <w:szCs w:val="18"/>
        </w:rPr>
        <w:br/>
        <w:t>Từ ngày 5 tháng 10 năm 1998, phương pháp chính mà Marốc áp dụng để tính trị giá hải quan là phương pháp trị giá giao dịch.</w:t>
      </w:r>
      <w:r w:rsidRPr="008E779E">
        <w:rPr>
          <w:rFonts w:ascii="Arial" w:eastAsia="Times New Roman" w:hAnsi="Arial" w:cs="Arial"/>
          <w:color w:val="494949"/>
          <w:sz w:val="18"/>
          <w:szCs w:val="18"/>
        </w:rPr>
        <w:br/>
        <w:t>Theo chính quyền Marốc, nếu có bất kỳ vấn đề gì về trị giá, hải quan sẽ yêu cầu người nhập khẩu cung cấp chứng cứ về trị giá đã kê khai trong vòng tối đa là một tháng. Nếu người nhập khẩu không cung cấp được chứng cứ chứng minh, hải quan sẽ bác bỏ trị giá giao dịch và quyết định trị giá hải quan dựa vào phương pháp được đưa ra trong Hiệp định về trị giá hải quan của WTO.</w:t>
      </w:r>
      <w:r w:rsidRPr="008E779E">
        <w:rPr>
          <w:rFonts w:ascii="Arial" w:eastAsia="Times New Roman" w:hAnsi="Arial" w:cs="Arial"/>
          <w:color w:val="494949"/>
          <w:sz w:val="18"/>
          <w:szCs w:val="18"/>
        </w:rPr>
        <w:br/>
        <w:t>Các tranh chấp phổ biến nhất thường xảy ra ở Marốc liên quan đến vấn đề trị giá hải quan là việc phân loại hàng hoá và trị giá hải quan. Nhà kinh doanh nếu thấy trị giá hải quan chưa hợp lý thì có thể kháng cáo quyết định của hải quan về trị giá hải quan lên uỷ ban địa phương, uỷ ban quốc gia và tổ chức Hải quan thế giới (WCO).</w:t>
      </w:r>
      <w:r w:rsidRPr="008E779E">
        <w:rPr>
          <w:rFonts w:ascii="Arial" w:eastAsia="Times New Roman" w:hAnsi="Arial" w:cs="Arial"/>
          <w:color w:val="494949"/>
          <w:sz w:val="18"/>
          <w:szCs w:val="18"/>
        </w:rPr>
        <w:br/>
        <w:t>Hiện nay Marốc đã bỏ việc áp dụng trị giá tham khảo (từ ngày 1 tháng 8 năm 2002). Tuy nhiên, phương pháp giá tối thiểu vẫn được áp dụng.</w:t>
      </w:r>
      <w:r w:rsidRPr="008E779E">
        <w:rPr>
          <w:rFonts w:ascii="Arial" w:eastAsia="Times New Roman" w:hAnsi="Arial" w:cs="Arial"/>
          <w:color w:val="494949"/>
          <w:sz w:val="18"/>
          <w:szCs w:val="18"/>
        </w:rPr>
        <w:br/>
        <w:t>3. Quy tắc xuất xứ</w:t>
      </w:r>
      <w:r w:rsidRPr="008E779E">
        <w:rPr>
          <w:rFonts w:ascii="Arial" w:eastAsia="Times New Roman" w:hAnsi="Arial" w:cs="Arial"/>
          <w:color w:val="494949"/>
          <w:sz w:val="18"/>
          <w:szCs w:val="18"/>
        </w:rPr>
        <w:br/>
        <w:t>Marốc áp dụng hai loại quy tắc xuất xứ:</w:t>
      </w:r>
      <w:r w:rsidRPr="008E779E">
        <w:rPr>
          <w:rFonts w:ascii="Arial" w:eastAsia="Times New Roman" w:hAnsi="Arial" w:cs="Arial"/>
          <w:color w:val="494949"/>
          <w:sz w:val="18"/>
          <w:szCs w:val="18"/>
        </w:rPr>
        <w:br/>
        <w:t>- Quy tắc xuất xứ không ưu đãi</w:t>
      </w:r>
      <w:r w:rsidRPr="008E779E">
        <w:rPr>
          <w:rFonts w:ascii="Arial" w:eastAsia="Times New Roman" w:hAnsi="Arial" w:cs="Arial"/>
          <w:color w:val="494949"/>
          <w:sz w:val="18"/>
          <w:szCs w:val="18"/>
        </w:rPr>
        <w:br/>
        <w:t>- Quy tắc xuất xứ có ưu đãi theo luật hải quan và luật về thuế gián thu.</w:t>
      </w:r>
      <w:r w:rsidRPr="008E779E">
        <w:rPr>
          <w:rFonts w:ascii="Arial" w:eastAsia="Times New Roman" w:hAnsi="Arial" w:cs="Arial"/>
          <w:color w:val="494949"/>
          <w:sz w:val="18"/>
          <w:szCs w:val="18"/>
        </w:rPr>
        <w:br/>
        <w:t>Bất cứ hàng hoá nào nhập khẩu vào Marốc cũng bắt buộc phải ghi xuất xứ ở nước sản xuất. Theo điều 16 của luật này: “hàng hoá được sản xuất hoàn toàn ở một nước cụ thể nào thì phải ghi xuất xứ ở nước đó”.</w:t>
      </w:r>
      <w:r w:rsidRPr="008E779E">
        <w:rPr>
          <w:rFonts w:ascii="Arial" w:eastAsia="Times New Roman" w:hAnsi="Arial" w:cs="Arial"/>
          <w:color w:val="494949"/>
          <w:sz w:val="18"/>
          <w:szCs w:val="18"/>
        </w:rPr>
        <w:br/>
        <w:t>Nghị định hướng dẫn thi hành luật này quy định cụ thể các hàng hoá sau sẽ được coi là xuất xứ từ một nước nếu “hàng hoá được sản xuất ở nước đó nhưng nguyên liệu và các sản phẩm sử dụng để sản xuất hàng hoá này có thể được nhập khẩu ở nước ngoài, sau đó trải qua quá trình gia công chế biến hoàn toàn để làm thay đổi hoàn toàn và làm mất đi những đặc tính xuất xứ (ban đầu) của nó”. Gia công hoàn toàn nghĩa là lao động hay gia công tạo ra trị giá gia tăng ở nước gia công ít nhất phải bằng với trị giá nhập khẩu đầu vào gia công</w:t>
      </w:r>
    </w:p>
    <w:p w:rsidR="0061601B" w:rsidRPr="008E779E" w:rsidRDefault="0061601B" w:rsidP="008E779E">
      <w:bookmarkStart w:id="0" w:name="_GoBack"/>
      <w:bookmarkEnd w:id="0"/>
    </w:p>
    <w:sectPr w:rsidR="0061601B" w:rsidRPr="008E779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322"/>
    <w:rsid w:val="000C0322"/>
    <w:rsid w:val="003740F2"/>
    <w:rsid w:val="0061601B"/>
    <w:rsid w:val="00624764"/>
    <w:rsid w:val="008E779E"/>
    <w:rsid w:val="00DA1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9414E3-2BD7-4060-BDD0-7E8B85E5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32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244494">
      <w:bodyDiv w:val="1"/>
      <w:marLeft w:val="0"/>
      <w:marRight w:val="0"/>
      <w:marTop w:val="0"/>
      <w:marBottom w:val="0"/>
      <w:divBdr>
        <w:top w:val="none" w:sz="0" w:space="0" w:color="auto"/>
        <w:left w:val="none" w:sz="0" w:space="0" w:color="auto"/>
        <w:bottom w:val="none" w:sz="0" w:space="0" w:color="auto"/>
        <w:right w:val="none" w:sz="0" w:space="0" w:color="auto"/>
      </w:divBdr>
      <w:divsChild>
        <w:div w:id="1768309115">
          <w:marLeft w:val="0"/>
          <w:marRight w:val="0"/>
          <w:marTop w:val="0"/>
          <w:marBottom w:val="150"/>
          <w:divBdr>
            <w:top w:val="none" w:sz="0" w:space="0" w:color="auto"/>
            <w:left w:val="none" w:sz="0" w:space="0" w:color="auto"/>
            <w:bottom w:val="none" w:sz="0" w:space="0" w:color="auto"/>
            <w:right w:val="none" w:sz="0" w:space="0" w:color="auto"/>
          </w:divBdr>
        </w:div>
        <w:div w:id="676688438">
          <w:marLeft w:val="0"/>
          <w:marRight w:val="0"/>
          <w:marTop w:val="0"/>
          <w:marBottom w:val="300"/>
          <w:divBdr>
            <w:top w:val="none" w:sz="0" w:space="0" w:color="auto"/>
            <w:left w:val="none" w:sz="0" w:space="0" w:color="auto"/>
            <w:bottom w:val="none" w:sz="0" w:space="0" w:color="auto"/>
            <w:right w:val="none" w:sz="0" w:space="0" w:color="auto"/>
          </w:divBdr>
        </w:div>
      </w:divsChild>
    </w:div>
    <w:div w:id="870068024">
      <w:bodyDiv w:val="1"/>
      <w:marLeft w:val="0"/>
      <w:marRight w:val="0"/>
      <w:marTop w:val="0"/>
      <w:marBottom w:val="0"/>
      <w:divBdr>
        <w:top w:val="none" w:sz="0" w:space="0" w:color="auto"/>
        <w:left w:val="none" w:sz="0" w:space="0" w:color="auto"/>
        <w:bottom w:val="none" w:sz="0" w:space="0" w:color="auto"/>
        <w:right w:val="none" w:sz="0" w:space="0" w:color="auto"/>
      </w:divBdr>
      <w:divsChild>
        <w:div w:id="619382094">
          <w:marLeft w:val="0"/>
          <w:marRight w:val="0"/>
          <w:marTop w:val="0"/>
          <w:marBottom w:val="150"/>
          <w:divBdr>
            <w:top w:val="none" w:sz="0" w:space="0" w:color="auto"/>
            <w:left w:val="none" w:sz="0" w:space="0" w:color="auto"/>
            <w:bottom w:val="none" w:sz="0" w:space="0" w:color="auto"/>
            <w:right w:val="none" w:sz="0" w:space="0" w:color="auto"/>
          </w:divBdr>
        </w:div>
        <w:div w:id="331030845">
          <w:marLeft w:val="0"/>
          <w:marRight w:val="0"/>
          <w:marTop w:val="0"/>
          <w:marBottom w:val="300"/>
          <w:divBdr>
            <w:top w:val="none" w:sz="0" w:space="0" w:color="auto"/>
            <w:left w:val="none" w:sz="0" w:space="0" w:color="auto"/>
            <w:bottom w:val="none" w:sz="0" w:space="0" w:color="auto"/>
            <w:right w:val="none" w:sz="0" w:space="0" w:color="auto"/>
          </w:divBdr>
        </w:div>
      </w:divsChild>
    </w:div>
    <w:div w:id="1058361438">
      <w:bodyDiv w:val="1"/>
      <w:marLeft w:val="0"/>
      <w:marRight w:val="0"/>
      <w:marTop w:val="0"/>
      <w:marBottom w:val="0"/>
      <w:divBdr>
        <w:top w:val="none" w:sz="0" w:space="0" w:color="auto"/>
        <w:left w:val="none" w:sz="0" w:space="0" w:color="auto"/>
        <w:bottom w:val="none" w:sz="0" w:space="0" w:color="auto"/>
        <w:right w:val="none" w:sz="0" w:space="0" w:color="auto"/>
      </w:divBdr>
      <w:divsChild>
        <w:div w:id="1556970776">
          <w:marLeft w:val="0"/>
          <w:marRight w:val="0"/>
          <w:marTop w:val="0"/>
          <w:marBottom w:val="150"/>
          <w:divBdr>
            <w:top w:val="none" w:sz="0" w:space="0" w:color="auto"/>
            <w:left w:val="none" w:sz="0" w:space="0" w:color="auto"/>
            <w:bottom w:val="none" w:sz="0" w:space="0" w:color="auto"/>
            <w:right w:val="none" w:sz="0" w:space="0" w:color="auto"/>
          </w:divBdr>
        </w:div>
        <w:div w:id="293097956">
          <w:marLeft w:val="0"/>
          <w:marRight w:val="0"/>
          <w:marTop w:val="0"/>
          <w:marBottom w:val="300"/>
          <w:divBdr>
            <w:top w:val="none" w:sz="0" w:space="0" w:color="auto"/>
            <w:left w:val="none" w:sz="0" w:space="0" w:color="auto"/>
            <w:bottom w:val="none" w:sz="0" w:space="0" w:color="auto"/>
            <w:right w:val="none" w:sz="0" w:space="0" w:color="auto"/>
          </w:divBdr>
          <w:divsChild>
            <w:div w:id="94869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1220">
      <w:bodyDiv w:val="1"/>
      <w:marLeft w:val="0"/>
      <w:marRight w:val="0"/>
      <w:marTop w:val="0"/>
      <w:marBottom w:val="0"/>
      <w:divBdr>
        <w:top w:val="none" w:sz="0" w:space="0" w:color="auto"/>
        <w:left w:val="none" w:sz="0" w:space="0" w:color="auto"/>
        <w:bottom w:val="none" w:sz="0" w:space="0" w:color="auto"/>
        <w:right w:val="none" w:sz="0" w:space="0" w:color="auto"/>
      </w:divBdr>
      <w:divsChild>
        <w:div w:id="1373506140">
          <w:marLeft w:val="0"/>
          <w:marRight w:val="0"/>
          <w:marTop w:val="0"/>
          <w:marBottom w:val="150"/>
          <w:divBdr>
            <w:top w:val="none" w:sz="0" w:space="0" w:color="auto"/>
            <w:left w:val="none" w:sz="0" w:space="0" w:color="auto"/>
            <w:bottom w:val="none" w:sz="0" w:space="0" w:color="auto"/>
            <w:right w:val="none" w:sz="0" w:space="0" w:color="auto"/>
          </w:divBdr>
        </w:div>
        <w:div w:id="170559475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2022-09-11T09:40:00Z</dcterms:created>
  <dcterms:modified xsi:type="dcterms:W3CDTF">2022-09-11T09:40:00Z</dcterms:modified>
</cp:coreProperties>
</file>